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850043.xml.htm"/>
      <w:bookmarkStart w:id="1" w:name="kswkform4_17828500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Lautenbach Marc Bradley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CAMPBELL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CAMPBELL'S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61"/>
        <w:gridCol w:w="276"/>
        <w:gridCol w:w="906"/>
        <w:gridCol w:w="801"/>
        <w:gridCol w:w="891"/>
        <w:gridCol w:w="98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5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1,950.24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1,950.24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48,755.89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is the economic equivalent of one share of issuer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shares are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value of phantom stock is payable in cash from the Company's Supplemental Retirement Plan upon reporting person's retirement, resignation or termination.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873.82 shares acquired through dividend reinvestment since the reporting person's last report.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Marci K. Donnelly,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3556" TargetMode="External"/><Relationship Id="rId5" Type="http://schemas.openxmlformats.org/officeDocument/2006/relationships/hyperlink" Target="http://www.sec.gov/cgi-bin/browse-edgar?action=getcompany&amp;CIK=000001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3405</Characters>
  <CharactersWithSpaces>3962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