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1"/>
          <w:szCs w:val="21"/>
          <w:color w:val="auto"/>
        </w:rPr>
        <w:t>SEC Form 4</w:t>
      </w:r>
    </w:p>
    <w:p>
      <w:pPr>
        <w:spacing w:after="0" w:line="41" w:lineRule="exact"/>
        <w:rPr>
          <w:sz w:val="24"/>
          <w:szCs w:val="24"/>
          <w:color w:val="auto"/>
        </w:rPr>
      </w:pPr>
    </w:p>
    <w:p>
      <w:pPr>
        <w:ind w:left="7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4"/>
          <w:szCs w:val="24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67" w:lineRule="exact"/>
        <w:rPr>
          <w:sz w:val="24"/>
          <w:szCs w:val="24"/>
          <w:color w:val="auto"/>
        </w:rPr>
      </w:pPr>
    </w:p>
    <w:p>
      <w:pPr>
        <w:ind w:left="380"/>
        <w:spacing w:after="0" w:line="238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38735</wp:posOffset>
            </wp:positionH>
            <wp:positionV relativeFrom="paragraph">
              <wp:posOffset>-243205</wp:posOffset>
            </wp:positionV>
            <wp:extent cx="136525" cy="136525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6525" cy="13652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64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73"/>
        </w:trPr>
        <w:tc>
          <w:tcPr>
            <w:tcW w:w="6540" w:type="dxa"/>
            <w:vAlign w:val="bottom"/>
          </w:tcPr>
          <w:p>
            <w:pPr>
              <w:jc w:val="center"/>
              <w:ind w:right="17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6540" w:type="dxa"/>
            <w:vAlign w:val="bottom"/>
            <w:vMerge w:val="restart"/>
          </w:tcPr>
          <w:p>
            <w:pPr>
              <w:jc w:val="center"/>
              <w:ind w:right="173"/>
              <w:spacing w:after="0" w:line="14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0"/>
        </w:trPr>
        <w:tc>
          <w:tcPr>
            <w:tcW w:w="654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restart"/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9"/>
        </w:trPr>
        <w:tc>
          <w:tcPr>
            <w:tcW w:w="65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"/>
        </w:trPr>
        <w:tc>
          <w:tcPr>
            <w:tcW w:w="6540" w:type="dxa"/>
            <w:vAlign w:val="bottom"/>
            <w:vMerge w:val="restart"/>
          </w:tcPr>
          <w:p>
            <w:pPr>
              <w:jc w:val="center"/>
              <w:ind w:right="17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0"/>
        </w:trPr>
        <w:tc>
          <w:tcPr>
            <w:tcW w:w="6540" w:type="dxa"/>
            <w:vAlign w:val="bottom"/>
            <w:vMerge w:val="continue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3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7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8"/>
        </w:trPr>
        <w:tc>
          <w:tcPr>
            <w:tcW w:w="654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9"/>
        </w:trPr>
        <w:tc>
          <w:tcPr>
            <w:tcW w:w="65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8"/>
        </w:trPr>
        <w:tc>
          <w:tcPr>
            <w:tcW w:w="6540" w:type="dxa"/>
            <w:vAlign w:val="bottom"/>
            <w:vMerge w:val="restart"/>
          </w:tcPr>
          <w:p>
            <w:pPr>
              <w:jc w:val="center"/>
              <w:ind w:right="15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3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7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4"/>
        </w:trPr>
        <w:tc>
          <w:tcPr>
            <w:tcW w:w="654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54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5481955</wp:posOffset>
            </wp:positionH>
            <wp:positionV relativeFrom="paragraph">
              <wp:posOffset>-650875</wp:posOffset>
            </wp:positionV>
            <wp:extent cx="59690" cy="664210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690" cy="66421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4145280</wp:posOffset>
            </wp:positionH>
            <wp:positionV relativeFrom="paragraph">
              <wp:posOffset>-650875</wp:posOffset>
            </wp:positionV>
            <wp:extent cx="59690" cy="664210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690" cy="66421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-1696720</wp:posOffset>
            </wp:positionH>
            <wp:positionV relativeFrom="paragraph">
              <wp:posOffset>20320</wp:posOffset>
            </wp:positionV>
            <wp:extent cx="7323455" cy="5237480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323455" cy="523748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104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360" w:space="300"/>
            <w:col w:w="8860"/>
          </w:cols>
          <w:pgMar w:left="240" w:top="225" w:right="139" w:bottom="1440" w:gutter="0" w:footer="0" w:header="0"/>
        </w:sectPr>
      </w:pPr>
    </w:p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1. Name and Address of Reporting Person</w:t>
      </w:r>
      <w:r>
        <w:rPr>
          <w:rFonts w:ascii="Arial" w:cs="Arial" w:eastAsia="Arial" w:hAnsi="Arial"/>
          <w:sz w:val="22"/>
          <w:szCs w:val="22"/>
          <w:color w:val="auto"/>
          <w:vertAlign w:val="superscript"/>
        </w:rPr>
        <w:t>*</w:t>
      </w:r>
    </w:p>
    <w:p>
      <w:pPr>
        <w:ind w:left="120"/>
        <w:spacing w:after="0"/>
        <w:rPr>
          <w:rFonts w:ascii="Arial" w:cs="Arial" w:eastAsia="Arial" w:hAnsi="Arial"/>
          <w:sz w:val="21"/>
          <w:szCs w:val="21"/>
          <w:u w:val="single" w:color="auto"/>
          <w:color w:val="0000EE"/>
        </w:rPr>
      </w:pPr>
      <w:hyperlink r:id="rId12">
        <w:r>
          <w:rPr>
            <w:rFonts w:ascii="Arial" w:cs="Arial" w:eastAsia="Arial" w:hAnsi="Arial"/>
            <w:sz w:val="21"/>
            <w:szCs w:val="21"/>
            <w:u w:val="single" w:color="auto"/>
            <w:color w:val="0000EE"/>
          </w:rPr>
          <w:t>CARPENTER EDMUND M</w:t>
        </w:r>
      </w:hyperlink>
    </w:p>
    <w:p>
      <w:pPr>
        <w:spacing w:after="0" w:line="325" w:lineRule="exact"/>
        <w:rPr>
          <w:sz w:val="24"/>
          <w:szCs w:val="24"/>
          <w:color w:val="auto"/>
        </w:rPr>
      </w:pPr>
    </w:p>
    <w:p>
      <w:pPr>
        <w:ind w:left="120"/>
        <w:spacing w:after="0"/>
        <w:tabs>
          <w:tab w:leader="none" w:pos="1380" w:val="left"/>
          <w:tab w:leader="none" w:pos="266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(Last)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(First)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(Middle)</w:t>
      </w:r>
    </w:p>
    <w:p>
      <w:pPr>
        <w:spacing w:after="0" w:line="71" w:lineRule="exact"/>
        <w:rPr>
          <w:sz w:val="24"/>
          <w:szCs w:val="24"/>
          <w:color w:val="auto"/>
        </w:rPr>
      </w:pPr>
    </w:p>
    <w:p>
      <w:pPr>
        <w:ind w:left="1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1 CAMPBELL PLACE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2. Issuer Name </w:t>
      </w: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and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Ticker or Trading Symbol</w:t>
      </w:r>
    </w:p>
    <w:p>
      <w:pPr>
        <w:spacing w:after="0" w:line="11" w:lineRule="exact"/>
        <w:rPr>
          <w:sz w:val="24"/>
          <w:szCs w:val="24"/>
          <w:color w:val="auto"/>
        </w:rPr>
      </w:pPr>
    </w:p>
    <w:p>
      <w:pPr>
        <w:spacing w:after="0"/>
        <w:rPr>
          <w:rFonts w:ascii="Arial" w:cs="Arial" w:eastAsia="Arial" w:hAnsi="Arial"/>
          <w:sz w:val="21"/>
          <w:szCs w:val="21"/>
          <w:color w:val="0000EE"/>
        </w:rPr>
      </w:pPr>
      <w:hyperlink r:id="rId13">
        <w:r>
          <w:rPr>
            <w:rFonts w:ascii="Arial" w:cs="Arial" w:eastAsia="Arial" w:hAnsi="Arial"/>
            <w:sz w:val="21"/>
            <w:szCs w:val="21"/>
            <w:u w:val="single" w:color="auto"/>
            <w:color w:val="0000EE"/>
          </w:rPr>
          <w:t>CAMPBELL SOUP CO</w:t>
        </w:r>
        <w:r>
          <w:rPr>
            <w:rFonts w:ascii="Arial" w:cs="Arial" w:eastAsia="Arial" w:hAnsi="Arial"/>
            <w:sz w:val="21"/>
            <w:szCs w:val="21"/>
            <w:color w:val="0000EE"/>
          </w:rPr>
          <w:t xml:space="preserve"> </w:t>
        </w:r>
      </w:hyperlink>
      <w:r>
        <w:rPr>
          <w:rFonts w:ascii="Arial" w:cs="Arial" w:eastAsia="Arial" w:hAnsi="Arial"/>
          <w:sz w:val="21"/>
          <w:szCs w:val="21"/>
          <w:color w:val="000000"/>
        </w:rPr>
        <w:t>[</w:t>
      </w:r>
      <w:r>
        <w:rPr>
          <w:rFonts w:ascii="Arial" w:cs="Arial" w:eastAsia="Arial" w:hAnsi="Arial"/>
          <w:sz w:val="21"/>
          <w:szCs w:val="21"/>
          <w:color w:val="0000EE"/>
        </w:rPr>
        <w:t xml:space="preserve"> </w:t>
      </w:r>
      <w:r>
        <w:rPr>
          <w:rFonts w:ascii="Arial" w:cs="Arial" w:eastAsia="Arial" w:hAnsi="Arial"/>
          <w:sz w:val="17"/>
          <w:szCs w:val="17"/>
          <w:color w:val="0000FF"/>
        </w:rPr>
        <w:t>CPB</w:t>
      </w:r>
      <w:r>
        <w:rPr>
          <w:rFonts w:ascii="Arial" w:cs="Arial" w:eastAsia="Arial" w:hAnsi="Arial"/>
          <w:sz w:val="21"/>
          <w:szCs w:val="21"/>
          <w:color w:val="0000EE"/>
        </w:rPr>
        <w:t xml:space="preserve"> </w:t>
      </w:r>
      <w:r>
        <w:rPr>
          <w:rFonts w:ascii="Arial" w:cs="Arial" w:eastAsia="Arial" w:hAnsi="Arial"/>
          <w:sz w:val="21"/>
          <w:szCs w:val="21"/>
          <w:color w:val="000000"/>
        </w:rPr>
        <w:t>]</w:t>
      </w:r>
    </w:p>
    <w:p>
      <w:pPr>
        <w:spacing w:after="0" w:line="298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3. Date of Earliest Transaction (Month/Day/Year)</w:t>
      </w:r>
    </w:p>
    <w:p>
      <w:pPr>
        <w:spacing w:after="0" w:line="4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09/14/2012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8" w:lineRule="exact"/>
        <w:rPr>
          <w:sz w:val="24"/>
          <w:szCs w:val="24"/>
          <w:color w:val="auto"/>
        </w:rPr>
      </w:pPr>
    </w:p>
    <w:p>
      <w:pPr>
        <w:ind w:left="6" w:right="640" w:hanging="6"/>
        <w:spacing w:after="0" w:line="255" w:lineRule="auto"/>
        <w:tabs>
          <w:tab w:leader="none" w:pos="155" w:val="left"/>
        </w:tabs>
        <w:numPr>
          <w:ilvl w:val="0"/>
          <w:numId w:val="1"/>
        </w:numPr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Relationship of Reporting Person(s) to Issuer (Check all applicable)</w:t>
      </w:r>
    </w:p>
    <w:p>
      <w:pPr>
        <w:ind w:left="206"/>
        <w:spacing w:after="0"/>
        <w:tabs>
          <w:tab w:leader="none" w:pos="525" w:val="left"/>
          <w:tab w:leader="none" w:pos="2145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X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Director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10% Owner</w:t>
      </w:r>
    </w:p>
    <w:p>
      <w:pPr>
        <w:spacing w:after="0" w:line="113" w:lineRule="exact"/>
        <w:rPr>
          <w:sz w:val="24"/>
          <w:szCs w:val="24"/>
          <w:color w:val="auto"/>
        </w:rPr>
      </w:pPr>
    </w:p>
    <w:p>
      <w:pPr>
        <w:jc w:val="right"/>
        <w:ind w:right="460"/>
        <w:spacing w:after="0"/>
        <w:tabs>
          <w:tab w:leader="none" w:pos="82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Officer (give title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Other (specify</w:t>
      </w:r>
    </w:p>
    <w:p>
      <w:pPr>
        <w:ind w:left="546"/>
        <w:spacing w:after="0"/>
        <w:tabs>
          <w:tab w:leader="none" w:pos="2145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below)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below)</w:t>
      </w:r>
    </w:p>
    <w:p>
      <w:pPr>
        <w:spacing w:after="0" w:line="425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3">
            <w:col w:w="3360" w:space="720"/>
            <w:col w:w="3254" w:space="720"/>
            <w:col w:w="3466"/>
          </w:cols>
          <w:pgMar w:left="240" w:top="225" w:right="139" w:bottom="1440" w:gutter="0" w:footer="0" w:header="0"/>
          <w:type w:val="continuous"/>
        </w:sectPr>
      </w:pPr>
    </w:p>
    <w:p>
      <w:pPr>
        <w:spacing w:after="0" w:line="243" w:lineRule="exact"/>
        <w:rPr>
          <w:sz w:val="24"/>
          <w:szCs w:val="24"/>
          <w:color w:val="auto"/>
        </w:rPr>
      </w:pPr>
    </w:p>
    <w:tbl>
      <w:tblPr>
        <w:tblLayout w:type="fixed"/>
        <w:tblInd w:w="8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61"/>
        </w:trPr>
        <w:tc>
          <w:tcPr>
            <w:tcW w:w="106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(Street)</w:t>
            </w: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6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</w:tr>
      <w:tr>
        <w:trPr>
          <w:trHeight w:val="240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CAMDEN</w:t>
            </w:r>
          </w:p>
        </w:tc>
        <w:tc>
          <w:tcPr>
            <w:tcW w:w="1100" w:type="dxa"/>
            <w:vAlign w:val="bottom"/>
          </w:tcPr>
          <w:p>
            <w:pPr>
              <w:ind w:left="2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NJ</w:t>
            </w:r>
          </w:p>
        </w:tc>
        <w:tc>
          <w:tcPr>
            <w:tcW w:w="1680" w:type="dxa"/>
            <w:vAlign w:val="bottom"/>
          </w:tcPr>
          <w:p>
            <w:pPr>
              <w:ind w:left="4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08103</w:t>
            </w:r>
          </w:p>
        </w:tc>
      </w:tr>
      <w:tr>
        <w:trPr>
          <w:trHeight w:val="156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</w:tr>
      <w:tr>
        <w:trPr>
          <w:trHeight w:val="308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(City)</w:t>
            </w:r>
          </w:p>
        </w:tc>
        <w:tc>
          <w:tcPr>
            <w:tcW w:w="1100" w:type="dxa"/>
            <w:vAlign w:val="bottom"/>
          </w:tcPr>
          <w:p>
            <w:pPr>
              <w:ind w:left="2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(State)</w:t>
            </w:r>
          </w:p>
        </w:tc>
        <w:tc>
          <w:tcPr>
            <w:tcW w:w="1680" w:type="dxa"/>
            <w:vAlign w:val="bottom"/>
          </w:tcPr>
          <w:p>
            <w:pPr>
              <w:ind w:left="4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(Zip)</w:t>
            </w: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/>
        <w:tabs>
          <w:tab w:leader="none" w:pos="396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4. If Amendment, Date of Original Filed (Month/Day/Year)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6. Individual or Joint/Group Filing (Check Applicable</w:t>
      </w:r>
    </w:p>
    <w:p>
      <w:pPr>
        <w:ind w:left="39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Line)</w:t>
      </w:r>
    </w:p>
    <w:p>
      <w:pPr>
        <w:ind w:left="4180"/>
        <w:spacing w:after="0" w:line="235" w:lineRule="auto"/>
        <w:tabs>
          <w:tab w:leader="none" w:pos="450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X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Form filed by One Reporting Person</w:t>
      </w:r>
    </w:p>
    <w:p>
      <w:pPr>
        <w:spacing w:after="0" w:line="113" w:lineRule="exact"/>
        <w:rPr>
          <w:sz w:val="24"/>
          <w:szCs w:val="24"/>
          <w:color w:val="auto"/>
        </w:rPr>
      </w:pPr>
    </w:p>
    <w:p>
      <w:pPr>
        <w:ind w:left="45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Form filed by More than One Reporting</w:t>
      </w:r>
    </w:p>
    <w:p>
      <w:pPr>
        <w:ind w:left="45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Person</w:t>
      </w:r>
    </w:p>
    <w:p>
      <w:pPr>
        <w:spacing w:after="0" w:line="395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3920" w:space="160"/>
            <w:col w:w="7440"/>
          </w:cols>
          <w:pgMar w:left="240" w:top="225" w:right="139" w:bottom="1440" w:gutter="0" w:footer="0" w:header="0"/>
          <w:type w:val="continuous"/>
        </w:sectPr>
      </w:pPr>
    </w:p>
    <w:p>
      <w:pPr>
        <w:jc w:val="center"/>
        <w:ind w:right="10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t>Table I - Non-Derivative Securities Acquired, Disposed of, or Beneficially Owned</w:t>
      </w:r>
    </w:p>
    <w:p>
      <w:pPr>
        <w:spacing w:after="0" w:line="130" w:lineRule="exact"/>
        <w:rPr>
          <w:sz w:val="24"/>
          <w:szCs w:val="24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4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60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640" w:type="dxa"/>
            <w:vAlign w:val="bottom"/>
            <w:gridSpan w:val="2"/>
          </w:tcPr>
          <w:p>
            <w:pPr>
              <w:ind w:left="6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900" w:type="dxa"/>
            <w:vAlign w:val="bottom"/>
            <w:gridSpan w:val="2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2060" w:type="dxa"/>
            <w:vAlign w:val="bottom"/>
            <w:gridSpan w:val="3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2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98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ind w:left="60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60" w:type="dxa"/>
            <w:vAlign w:val="bottom"/>
            <w:gridSpan w:val="3"/>
          </w:tcPr>
          <w:p>
            <w:pPr>
              <w:ind w:left="10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820" w:type="dxa"/>
            <w:vAlign w:val="bottom"/>
          </w:tcPr>
          <w:p>
            <w:pPr>
              <w:ind w:left="6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2060" w:type="dxa"/>
            <w:vAlign w:val="bottom"/>
            <w:gridSpan w:val="3"/>
          </w:tcPr>
          <w:p>
            <w:pPr>
              <w:ind w:left="4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 Of (D) (Instr. 3, 4 and 5)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20" w:type="dxa"/>
            <w:vAlign w:val="bottom"/>
            <w:gridSpan w:val="2"/>
          </w:tcPr>
          <w:p>
            <w:pPr>
              <w:ind w:left="8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80" w:type="dxa"/>
            <w:vAlign w:val="bottom"/>
            <w:gridSpan w:val="2"/>
          </w:tcPr>
          <w:p>
            <w:pPr>
              <w:ind w:left="4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40" w:type="dxa"/>
            <w:vAlign w:val="bottom"/>
            <w:gridSpan w:val="2"/>
          </w:tcPr>
          <w:p>
            <w:pPr>
              <w:ind w:left="60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440" w:type="dxa"/>
            <w:vAlign w:val="bottom"/>
          </w:tcPr>
          <w:p>
            <w:pPr>
              <w:ind w:left="10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20" w:type="dxa"/>
            <w:vAlign w:val="bottom"/>
            <w:gridSpan w:val="2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80" w:type="dxa"/>
            <w:vAlign w:val="bottom"/>
            <w:gridSpan w:val="2"/>
          </w:tcPr>
          <w:p>
            <w:pPr>
              <w:ind w:left="4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60" w:type="dxa"/>
            <w:vAlign w:val="bottom"/>
            <w:gridSpan w:val="3"/>
          </w:tcPr>
          <w:p>
            <w:pPr>
              <w:ind w:left="10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820" w:type="dxa"/>
            <w:vAlign w:val="bottom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20" w:type="dxa"/>
            <w:vAlign w:val="bottom"/>
            <w:gridSpan w:val="2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980" w:type="dxa"/>
            <w:vAlign w:val="bottom"/>
            <w:gridSpan w:val="2"/>
          </w:tcPr>
          <w:p>
            <w:pPr>
              <w:ind w:left="4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0" w:type="dxa"/>
            <w:vAlign w:val="bottom"/>
            <w:vMerge w:val="restart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4"/>
              </w:rPr>
              <w:t>Reported</w:t>
            </w: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40" w:type="dxa"/>
            <w:vAlign w:val="bottom"/>
            <w:gridSpan w:val="3"/>
            <w:vMerge w:val="restart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4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 V</w:t>
            </w:r>
          </w:p>
        </w:tc>
        <w:tc>
          <w:tcPr>
            <w:tcW w:w="800" w:type="dxa"/>
            <w:vAlign w:val="bottom"/>
            <w:vMerge w:val="restart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56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700" w:type="dxa"/>
            <w:vAlign w:val="bottom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20" w:type="dxa"/>
            <w:vAlign w:val="bottom"/>
            <w:gridSpan w:val="2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2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6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70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20" w:type="dxa"/>
            <w:vAlign w:val="bottom"/>
            <w:gridSpan w:val="2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6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5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52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Common Stock</w:t>
            </w: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640" w:type="dxa"/>
            <w:vAlign w:val="bottom"/>
            <w:gridSpan w:val="2"/>
          </w:tcPr>
          <w:p>
            <w:pPr>
              <w:ind w:left="7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09/14/2012</w:t>
            </w: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M</w:t>
            </w:r>
          </w:p>
        </w:tc>
        <w:tc>
          <w:tcPr>
            <w:tcW w:w="800" w:type="dxa"/>
            <w:vAlign w:val="bottom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88"/>
              </w:rPr>
              <w:t>11,272</w:t>
            </w:r>
          </w:p>
        </w:tc>
        <w:tc>
          <w:tcPr>
            <w:tcW w:w="560" w:type="dxa"/>
            <w:vAlign w:val="bottom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A</w:t>
            </w:r>
          </w:p>
        </w:tc>
        <w:tc>
          <w:tcPr>
            <w:tcW w:w="700" w:type="dxa"/>
            <w:vAlign w:val="bottom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$</w:t>
            </w: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23.27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220" w:type="dxa"/>
            <w:vAlign w:val="bottom"/>
            <w:gridSpan w:val="2"/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41,403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D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5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6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69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5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Common Stock</w:t>
            </w:r>
          </w:p>
        </w:tc>
        <w:tc>
          <w:tcPr>
            <w:tcW w:w="10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6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7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09/14/2012</w:t>
            </w: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S</w:t>
            </w: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88"/>
              </w:rPr>
              <w:t>11,272</w:t>
            </w: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D</w:t>
            </w:r>
          </w:p>
        </w:tc>
        <w:tc>
          <w:tcPr>
            <w:tcW w:w="8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  <w:w w:val="90"/>
              </w:rPr>
              <w:t>$</w:t>
            </w:r>
            <w:r>
              <w:rPr>
                <w:rFonts w:ascii="Arial" w:cs="Arial" w:eastAsia="Arial" w:hAnsi="Arial"/>
                <w:sz w:val="17"/>
                <w:szCs w:val="17"/>
                <w:color w:val="0000FF"/>
                <w:w w:val="90"/>
              </w:rPr>
              <w:t>34.5274</w:t>
            </w:r>
            <w:r>
              <w:rPr>
                <w:rFonts w:ascii="Arial" w:cs="Arial" w:eastAsia="Arial" w:hAnsi="Arial"/>
                <w:sz w:val="22"/>
                <w:szCs w:val="22"/>
                <w:color w:val="008000"/>
                <w:w w:val="90"/>
                <w:vertAlign w:val="superscript"/>
              </w:rPr>
              <w:t>(1)</w:t>
            </w:r>
          </w:p>
        </w:tc>
        <w:tc>
          <w:tcPr>
            <w:tcW w:w="12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30,131</w:t>
            </w: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D</w:t>
            </w: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3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460" w:type="dxa"/>
            <w:vAlign w:val="bottom"/>
            <w:tcBorders>
              <w:top w:val="single" w:sz="8" w:color="2C2C2C"/>
            </w:tcBorders>
            <w:gridSpan w:val="11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Table II - Derivative Securities Acquired, Disposed of, or Beneficially Owned</w:t>
            </w:r>
          </w:p>
        </w:tc>
        <w:tc>
          <w:tcPr>
            <w:tcW w:w="6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680" w:type="dxa"/>
            <w:vAlign w:val="bottom"/>
            <w:gridSpan w:val="9"/>
          </w:tcPr>
          <w:p>
            <w:pPr>
              <w:ind w:left="7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(e.g., puts, calls, warrants, options, convertible securities)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108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1180" w:type="dxa"/>
            <w:vAlign w:val="bottom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4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</w:t>
            </w: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Number</w:t>
            </w:r>
          </w:p>
        </w:tc>
        <w:tc>
          <w:tcPr>
            <w:tcW w:w="1620" w:type="dxa"/>
            <w:vAlign w:val="bottom"/>
            <w:gridSpan w:val="2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126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Title and Amount</w:t>
            </w:r>
          </w:p>
        </w:tc>
        <w:tc>
          <w:tcPr>
            <w:tcW w:w="78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90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</w:t>
            </w:r>
          </w:p>
        </w:tc>
        <w:tc>
          <w:tcPr>
            <w:tcW w:w="7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10.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108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180" w:type="dxa"/>
            <w:vAlign w:val="bottom"/>
          </w:tcPr>
          <w:p>
            <w:pPr>
              <w:ind w:left="12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900" w:type="dxa"/>
            <w:vAlign w:val="bottom"/>
            <w:gridSpan w:val="2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460" w:type="dxa"/>
            <w:vAlign w:val="bottom"/>
          </w:tcPr>
          <w:p>
            <w:pPr>
              <w:ind w:left="2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20" w:type="dxa"/>
            <w:vAlign w:val="bottom"/>
            <w:gridSpan w:val="2"/>
          </w:tcPr>
          <w:p>
            <w:pPr>
              <w:ind w:left="12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1260" w:type="dxa"/>
            <w:vAlign w:val="bottom"/>
            <w:gridSpan w:val="2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Securities</w:t>
            </w:r>
          </w:p>
        </w:tc>
        <w:tc>
          <w:tcPr>
            <w:tcW w:w="780" w:type="dxa"/>
            <w:vAlign w:val="bottom"/>
            <w:gridSpan w:val="2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620" w:type="dxa"/>
            <w:vAlign w:val="bottom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6"/>
              </w:rPr>
              <w:t>Ownership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ind w:left="14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108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(Month/Day/Year)</w:t>
            </w:r>
          </w:p>
        </w:tc>
        <w:tc>
          <w:tcPr>
            <w:tcW w:w="1180" w:type="dxa"/>
            <w:vAlign w:val="bottom"/>
          </w:tcPr>
          <w:p>
            <w:pPr>
              <w:ind w:left="12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900" w:type="dxa"/>
            <w:vAlign w:val="bottom"/>
            <w:gridSpan w:val="2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720" w:type="dxa"/>
            <w:vAlign w:val="bottom"/>
            <w:gridSpan w:val="2"/>
          </w:tcPr>
          <w:p>
            <w:pPr>
              <w:ind w:left="2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620" w:type="dxa"/>
            <w:vAlign w:val="bottom"/>
            <w:gridSpan w:val="2"/>
          </w:tcPr>
          <w:p>
            <w:pPr>
              <w:ind w:left="12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260" w:type="dxa"/>
            <w:vAlign w:val="bottom"/>
            <w:gridSpan w:val="2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Underlying</w:t>
            </w:r>
          </w:p>
        </w:tc>
        <w:tc>
          <w:tcPr>
            <w:tcW w:w="780" w:type="dxa"/>
            <w:vAlign w:val="bottom"/>
            <w:gridSpan w:val="2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620" w:type="dxa"/>
            <w:vAlign w:val="bottom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ind w:left="14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ind w:left="12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460" w:type="dxa"/>
            <w:vAlign w:val="bottom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2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 Security</w:t>
            </w:r>
          </w:p>
        </w:tc>
        <w:tc>
          <w:tcPr>
            <w:tcW w:w="780" w:type="dxa"/>
            <w:vAlign w:val="bottom"/>
            <w:gridSpan w:val="2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900" w:type="dxa"/>
            <w:vAlign w:val="bottom"/>
            <w:gridSpan w:val="2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70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ind w:left="14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2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</w:t>
            </w: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Indirect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ind w:left="14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ind w:left="2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Following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6"/>
              </w:rPr>
              <w:t>(I) (Instr. 4)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2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</w:t>
            </w: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2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of (D) (Instr.</w:t>
            </w: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00" w:type="dxa"/>
            <w:vAlign w:val="bottom"/>
            <w:gridSpan w:val="2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3, 4 and 5)</w:t>
            </w: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14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14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12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800" w:type="dxa"/>
            <w:vAlign w:val="bottom"/>
          </w:tcPr>
          <w:p>
            <w:pPr>
              <w:jc w:val="center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Expiration</w:t>
            </w: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14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</w:t>
            </w:r>
          </w:p>
        </w:tc>
        <w:tc>
          <w:tcPr>
            <w:tcW w:w="4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V</w:t>
            </w:r>
          </w:p>
        </w:tc>
        <w:tc>
          <w:tcPr>
            <w:tcW w:w="46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</w:t>
            </w:r>
          </w:p>
        </w:tc>
        <w:tc>
          <w:tcPr>
            <w:tcW w:w="2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820" w:type="dxa"/>
            <w:vAlign w:val="bottom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800" w:type="dxa"/>
            <w:vAlign w:val="bottom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5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</w:t>
            </w:r>
          </w:p>
        </w:tc>
        <w:tc>
          <w:tcPr>
            <w:tcW w:w="700" w:type="dxa"/>
            <w:vAlign w:val="bottom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Shares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Stock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Options</w:t>
            </w:r>
          </w:p>
        </w:tc>
        <w:tc>
          <w:tcPr>
            <w:tcW w:w="800" w:type="dxa"/>
            <w:vAlign w:val="bottom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$</w:t>
            </w: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23.27</w:t>
            </w:r>
          </w:p>
        </w:tc>
        <w:tc>
          <w:tcPr>
            <w:tcW w:w="1080" w:type="dxa"/>
            <w:vAlign w:val="bottom"/>
          </w:tcPr>
          <w:p>
            <w:pPr>
              <w:jc w:val="right"/>
              <w:ind w:right="13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09/14/2012</w:t>
            </w: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M</w:t>
            </w: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11,272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3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008000"/>
              </w:rPr>
              <w:t>(2)</w:t>
            </w:r>
          </w:p>
        </w:tc>
        <w:tc>
          <w:tcPr>
            <w:tcW w:w="800" w:type="dxa"/>
            <w:vAlign w:val="bottom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  <w:w w:val="92"/>
              </w:rPr>
              <w:t>01/01/2013</w:t>
            </w:r>
          </w:p>
        </w:tc>
        <w:tc>
          <w:tcPr>
            <w:tcW w:w="5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  <w:w w:val="90"/>
              </w:rPr>
              <w:t>Common</w:t>
            </w:r>
          </w:p>
        </w:tc>
        <w:tc>
          <w:tcPr>
            <w:tcW w:w="700" w:type="dxa"/>
            <w:vAlign w:val="bottom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9"/>
              </w:rPr>
              <w:t>11,272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$</w:t>
            </w: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0.00</w:t>
            </w:r>
          </w:p>
        </w:tc>
        <w:tc>
          <w:tcPr>
            <w:tcW w:w="620" w:type="dxa"/>
            <w:vAlign w:val="bottom"/>
          </w:tcPr>
          <w:p>
            <w:pPr>
              <w:ind w:left="3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0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D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0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0000FF"/>
              </w:rPr>
              <w:t>(right to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ind w:left="160"/>
              <w:spacing w:after="0" w:line="10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0000FF"/>
              </w:rPr>
              <w:t>Stock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0000FF"/>
        </w:rPr>
        <w:t>buy)</w:t>
      </w:r>
    </w:p>
    <w:p>
      <w:pPr>
        <w:spacing w:after="0" w:line="101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Explanation of Responses:</w:t>
      </w:r>
    </w:p>
    <w:p>
      <w:pPr>
        <w:spacing w:after="0" w:line="58" w:lineRule="exact"/>
        <w:rPr>
          <w:sz w:val="24"/>
          <w:szCs w:val="24"/>
          <w:color w:val="auto"/>
        </w:rPr>
      </w:pPr>
    </w:p>
    <w:p>
      <w:pPr>
        <w:ind w:left="40" w:right="160" w:firstLine="8"/>
        <w:spacing w:after="0" w:line="272" w:lineRule="auto"/>
        <w:tabs>
          <w:tab w:leader="none" w:pos="174" w:val="left"/>
        </w:tabs>
        <w:numPr>
          <w:ilvl w:val="0"/>
          <w:numId w:val="2"/>
        </w:numPr>
        <w:rPr>
          <w:rFonts w:ascii="Arial" w:cs="Arial" w:eastAsia="Arial" w:hAnsi="Arial"/>
          <w:sz w:val="13"/>
          <w:szCs w:val="13"/>
          <w:color w:val="008000"/>
        </w:rPr>
      </w:pPr>
      <w:r>
        <w:rPr>
          <w:rFonts w:ascii="Arial" w:cs="Arial" w:eastAsia="Arial" w:hAnsi="Arial"/>
          <w:sz w:val="13"/>
          <w:szCs w:val="13"/>
          <w:color w:val="008000"/>
        </w:rPr>
        <w:t>The price reflects the weighted average sale price for the transactions reported on this line. The range of prices for the transactions reported on this line are $34.49 to and including $34.55. The full information regarding the number of shares sold at each separate price will be provided upon request by the Commission staff.</w:t>
      </w:r>
    </w:p>
    <w:p>
      <w:pPr>
        <w:spacing w:after="0" w:line="9" w:lineRule="exact"/>
        <w:rPr>
          <w:rFonts w:ascii="Arial" w:cs="Arial" w:eastAsia="Arial" w:hAnsi="Arial"/>
          <w:sz w:val="13"/>
          <w:szCs w:val="13"/>
          <w:color w:val="008000"/>
        </w:rPr>
      </w:pPr>
    </w:p>
    <w:p>
      <w:pPr>
        <w:ind w:left="180" w:hanging="132"/>
        <w:spacing w:after="0"/>
        <w:tabs>
          <w:tab w:leader="none" w:pos="180" w:val="left"/>
        </w:tabs>
        <w:numPr>
          <w:ilvl w:val="0"/>
          <w:numId w:val="2"/>
        </w:numPr>
        <w:rPr>
          <w:rFonts w:ascii="Arial" w:cs="Arial" w:eastAsia="Arial" w:hAnsi="Arial"/>
          <w:sz w:val="13"/>
          <w:szCs w:val="13"/>
          <w:color w:val="008000"/>
        </w:rPr>
      </w:pPr>
      <w:r>
        <w:rPr>
          <w:rFonts w:ascii="Arial" w:cs="Arial" w:eastAsia="Arial" w:hAnsi="Arial"/>
          <w:sz w:val="13"/>
          <w:szCs w:val="13"/>
          <w:color w:val="008000"/>
        </w:rPr>
        <w:t>The options vested cumulatively over three years at the rate of 30%, 60%, 100% respectively on the first three anniversaries of the Grant Date.</w:t>
      </w:r>
    </w:p>
    <w:p>
      <w:pPr>
        <w:spacing w:after="0" w:line="44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t>Remarks:</w:t>
      </w:r>
    </w:p>
    <w:p>
      <w:pPr>
        <w:spacing w:after="0" w:line="150" w:lineRule="exact"/>
        <w:rPr>
          <w:sz w:val="24"/>
          <w:szCs w:val="24"/>
          <w:color w:val="auto"/>
        </w:rPr>
      </w:pPr>
    </w:p>
    <w:p>
      <w:pPr>
        <w:ind w:left="68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Tara L. Smith, Attorney-in-Fact 09/18/2012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4356735</wp:posOffset>
            </wp:positionH>
            <wp:positionV relativeFrom="paragraph">
              <wp:posOffset>-7620</wp:posOffset>
            </wp:positionV>
            <wp:extent cx="1960880" cy="8255"/>
            <wp:wrapNone/>
            <wp:docPr id="5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14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960880" cy="8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60" w:lineRule="exact"/>
        <w:rPr>
          <w:sz w:val="24"/>
          <w:szCs w:val="24"/>
          <w:color w:val="auto"/>
        </w:rPr>
      </w:pPr>
    </w:p>
    <w:p>
      <w:pPr>
        <w:ind w:left="6860"/>
        <w:spacing w:after="0"/>
        <w:tabs>
          <w:tab w:leader="none" w:pos="914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** Signature of Reporting Person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Date</w:t>
      </w:r>
    </w:p>
    <w:p>
      <w:pPr>
        <w:spacing w:after="0" w:line="52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Reminder: Report on a separate line for each class of securities beneficially owned directly or indirectly.</w:t>
      </w:r>
    </w:p>
    <w:p>
      <w:pPr>
        <w:spacing w:after="0" w:line="38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4 (b)(v).</w:t>
      </w:r>
    </w:p>
    <w:p>
      <w:pPr>
        <w:spacing w:after="0" w:line="52" w:lineRule="exact"/>
        <w:rPr>
          <w:sz w:val="24"/>
          <w:szCs w:val="24"/>
          <w:color w:val="auto"/>
        </w:rPr>
      </w:pPr>
    </w:p>
    <w:p>
      <w:pPr>
        <w:jc w:val="both"/>
        <w:ind w:left="40" w:right="3740" w:firstLine="8"/>
        <w:spacing w:after="0" w:line="321" w:lineRule="auto"/>
        <w:tabs>
          <w:tab w:leader="none" w:pos="182" w:val="left"/>
        </w:tabs>
        <w:numPr>
          <w:ilvl w:val="0"/>
          <w:numId w:val="3"/>
        </w:numPr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6 for procedure.</w:t>
      </w:r>
    </w:p>
    <w:p>
      <w:pPr>
        <w:ind w:left="40"/>
        <w:spacing w:after="0"/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520"/>
      </w:cols>
      <w:pgMar w:left="240" w:top="225" w:right="13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66334873"/>
    <w:multiLevelType w:val="hybridMultilevel"/>
    <w:lvl w:ilvl="0">
      <w:lvlJc w:val="left"/>
      <w:lvlText w:val="%1."/>
      <w:numFmt w:val="decimal"/>
      <w:start w:val="5"/>
    </w:lvl>
  </w:abstractNum>
  <w:abstractNum w:abstractNumId="1">
    <w:nsid w:val="74B0DC51"/>
    <w:multiLevelType w:val="hybridMultilevel"/>
    <w:lvl w:ilvl="0">
      <w:lvlJc w:val="left"/>
      <w:lvlText w:val="%1."/>
      <w:numFmt w:val="decimal"/>
      <w:start w:val="1"/>
    </w:lvl>
  </w:abstractNum>
  <w:abstractNum w:abstractNumId="2">
    <w:nsid w:val="19495CFF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  <w:num w:numId="2">
    <w:abstractNumId w:val="1"/>
  </w:num>
  <w:num w:numId="3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pn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4" Type="http://schemas.openxmlformats.org/officeDocument/2006/relationships/image" Target="media/image5.png"/><Relationship Id="rId12" Type="http://schemas.openxmlformats.org/officeDocument/2006/relationships/hyperlink" Target="http://www.sec.gov/cgi-bin/browse-edgar?action=getcompany&amp;CIK=0001195682" TargetMode="External"/><Relationship Id="rId13" Type="http://schemas.openxmlformats.org/officeDocument/2006/relationships/hyperlink" Target="http://www.sec.gov/cgi-bin/browse-edgar?action=getcompany&amp;CIK=0000016732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2019-12-18T02:40:07Z</dcterms:created>
  <dcterms:modified xsi:type="dcterms:W3CDTF">2019-12-18T02:40:07Z</dcterms:modified>
</cp:coreProperties>
</file>