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5217795</wp:posOffset>
            </wp:positionH>
            <wp:positionV relativeFrom="paragraph">
              <wp:posOffset>-615315</wp:posOffset>
            </wp:positionV>
            <wp:extent cx="57785" cy="6286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3939540</wp:posOffset>
            </wp:positionH>
            <wp:positionV relativeFrom="paragraph">
              <wp:posOffset>-615315</wp:posOffset>
            </wp:positionV>
            <wp:extent cx="57785" cy="6286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728345</wp:posOffset>
            </wp:positionV>
            <wp:extent cx="7047865" cy="4029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02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60"/>
            <w:col w:w="8440"/>
          </w:cols>
          <w:pgMar w:left="460" w:top="216" w:right="359" w:bottom="1440" w:gutter="0" w:footer="0" w:header="0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Schmidt Kurt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 CAMPBELL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CAMPBELL'S Co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CPB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-5" w:right="680" w:firstLine="5"/>
        <w:spacing w:after="0" w:line="251" w:lineRule="auto"/>
        <w:tabs>
          <w:tab w:leader="none" w:pos="13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35"/>
        <w:spacing w:after="0"/>
        <w:tabs>
          <w:tab w:leader="none" w:pos="20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35"/>
        <w:spacing w:after="0"/>
        <w:tabs>
          <w:tab w:leader="none" w:pos="20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5" w:space="720"/>
            <w:col w:w="335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CAMDEN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08103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06/29/2026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3,107.34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3,107.34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58,634.36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is the economic equivalent of one share of issuer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shares are fully vested.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value of Phantom Stock is payable in cash from the Company's Supplemental Retirement Plan upon reporting person's retirement, resignation or termination.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1,036.65 shares acquired through dividend reinvestment since the reporting person's last report.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Marci K. Donnelly, Attorney-in-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06/30/2026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-26035</wp:posOffset>
            </wp:positionV>
            <wp:extent cx="13601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-15240</wp:posOffset>
            </wp:positionV>
            <wp:extent cx="1797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5588635</wp:posOffset>
            </wp:positionH>
            <wp:positionV relativeFrom="paragraph">
              <wp:posOffset>-79375</wp:posOffset>
            </wp:positionV>
            <wp:extent cx="4762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740" w:hanging="1"/>
        <w:spacing w:after="0" w:line="330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47807" TargetMode="External"/><Relationship Id="rId14" Type="http://schemas.openxmlformats.org/officeDocument/2006/relationships/hyperlink" Target="http://www.sec.gov/cgi-bin/browse-edgar?action=getcompany&amp;CIK=00000167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2026-06-30T15:15:09Z</dcterms:created>
  <dcterms:modified xsi:type="dcterms:W3CDTF">2026-06-30T15:15:09Z</dcterms:modified>
</cp:coreProperties>
</file>