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7141ds3asr.htm"/>
        <w:bookmarkStart w:id="1" w:name="ksd137141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August 13,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S-3</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60" w:after="0"/>
        <w:jc w:val="center"/>
        <w:rPr>
          <w:rFonts w:ascii="Times New Roman" w:hAnsi="Times New Roman"/>
          <w:b/>
          <w:sz w:val="48"/>
        </w:rPr>
      </w:pPr>
      <w:r>
        <w:rPr>
          <w:rFonts w:ascii="Times New Roman" w:hAnsi="Times New Roman"/>
          <w:b/>
          <w:sz w:val="48"/>
        </w:rPr>
        <w:t xml:space="preserve">THE CAMPBELL’S COMPANY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Jersey</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21-0419870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20"/>
        </w:rPr>
      </w:pPr>
      <w:r>
        <w:rPr>
          <w:rFonts w:ascii="Times New Roman" w:hAnsi="Times New Roman"/>
          <w:b/>
          <w:sz w:val="20"/>
        </w:rPr>
        <w:t xml:space="preserve">One Campbell Place </w:t>
      </w:r>
    </w:p>
    <w:p>
      <w:pPr>
        <w:pStyle w:val="TextBody"/>
        <w:bidi w:val="0"/>
        <w:spacing w:before="0" w:after="0"/>
        <w:jc w:val="center"/>
        <w:rPr>
          <w:rFonts w:ascii="Times New Roman" w:hAnsi="Times New Roman"/>
          <w:b/>
          <w:sz w:val="20"/>
        </w:rPr>
      </w:pPr>
      <w:r>
        <w:rPr>
          <w:rFonts w:ascii="Times New Roman" w:hAnsi="Times New Roman"/>
          <w:b/>
          <w:sz w:val="20"/>
        </w:rPr>
        <w:t xml:space="preserve">Camden, New Jersey 08103-1799 </w:t>
      </w:r>
    </w:p>
    <w:p>
      <w:pPr>
        <w:pStyle w:val="TextBody"/>
        <w:bidi w:val="0"/>
        <w:spacing w:before="0" w:after="0"/>
        <w:jc w:val="center"/>
        <w:rPr>
          <w:rFonts w:ascii="Times New Roman" w:hAnsi="Times New Roman"/>
          <w:b/>
          <w:sz w:val="20"/>
        </w:rPr>
      </w:pPr>
      <w:r>
        <w:rPr>
          <w:rFonts w:ascii="Times New Roman" w:hAnsi="Times New Roman"/>
          <w:b/>
          <w:sz w:val="20"/>
        </w:rPr>
        <w:t>(856) 342-4800</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20"/>
        </w:rPr>
      </w:pPr>
      <w:r>
        <w:rPr>
          <w:rFonts w:ascii="Times New Roman" w:hAnsi="Times New Roman"/>
          <w:b/>
          <w:sz w:val="20"/>
        </w:rPr>
        <w:t xml:space="preserve">Charles A. Brawley, III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General Counsel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The Campbell’s Company </w:t>
      </w:r>
    </w:p>
    <w:p>
      <w:pPr>
        <w:pStyle w:val="TextBody"/>
        <w:bidi w:val="0"/>
        <w:spacing w:before="0" w:after="0"/>
        <w:jc w:val="center"/>
        <w:rPr>
          <w:rFonts w:ascii="Times New Roman" w:hAnsi="Times New Roman"/>
          <w:b/>
          <w:sz w:val="20"/>
        </w:rPr>
      </w:pPr>
      <w:r>
        <w:rPr>
          <w:rFonts w:ascii="Times New Roman" w:hAnsi="Times New Roman"/>
          <w:b/>
          <w:sz w:val="20"/>
        </w:rPr>
        <w:t xml:space="preserve">One Campbell Place </w:t>
      </w:r>
    </w:p>
    <w:p>
      <w:pPr>
        <w:pStyle w:val="TextBody"/>
        <w:bidi w:val="0"/>
        <w:spacing w:before="0" w:after="0"/>
        <w:jc w:val="center"/>
        <w:rPr>
          <w:rFonts w:ascii="Times New Roman" w:hAnsi="Times New Roman"/>
          <w:b/>
          <w:sz w:val="20"/>
        </w:rPr>
      </w:pPr>
      <w:r>
        <w:rPr>
          <w:rFonts w:ascii="Times New Roman" w:hAnsi="Times New Roman"/>
          <w:b/>
          <w:sz w:val="20"/>
        </w:rPr>
        <w:t xml:space="preserve">Camden, New Jersey 08103-1799 </w:t>
      </w:r>
    </w:p>
    <w:p>
      <w:pPr>
        <w:pStyle w:val="TextBody"/>
        <w:bidi w:val="0"/>
        <w:spacing w:before="0" w:after="0"/>
        <w:jc w:val="center"/>
        <w:rPr>
          <w:rFonts w:ascii="Times New Roman" w:hAnsi="Times New Roman"/>
          <w:b/>
          <w:sz w:val="20"/>
        </w:rPr>
      </w:pPr>
      <w:r>
        <w:rPr>
          <w:rFonts w:ascii="Times New Roman" w:hAnsi="Times New Roman"/>
          <w:b/>
          <w:sz w:val="20"/>
        </w:rPr>
        <w:t>(856) 342-4800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this Registration Statement becomes effective. </w:t>
      </w:r>
    </w:p>
    <w:p>
      <w:pPr>
        <w:pStyle w:val="TextBody"/>
        <w:bidi w:val="0"/>
        <w:spacing w:before="6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42060" cy="583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2060" cy="5835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THE CAMPBELL’S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CAPITAL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in one or more offerings, we may sell debt securities, capital stock, preferred stock, warrants, purchase contracts or units. When we decide to sell securities, we will prepare and deliver a supplement to this prospectus describing the particular terms of the securities we are offering. The prospectus supplements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capital stock is listed on The Nasdaq Stock Market LLC (“Nasdaq”) under the ticker symbol “CPB.”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one or more underwriters, dealers or agents, or directly to purchasers, on a continuous or delayed basis, at prices and on other terms to be determined at the time of offering. We reserve the sole right to accept, and together with any agents, dealers or underwriters, reserve the right to reject, in whole or in part, any proposed purchase of securities. If any agents, dealers or underwriters are involved in the sale of any securities, the applicable prospectus supplement will set forth their names and any applicable fees, commissions or discounts. The net proceeds to us from the sale of securities also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you should carefully read this prospectus, any applicable prospectus supplement and information described under the headings “Where You Can Find More Information About Us” and “Documents Incorporated by Reference.” </w:t>
      </w:r>
    </w:p>
    <w:p>
      <w:pPr>
        <w:pStyle w:val="TextBody"/>
        <w:bidi w:val="0"/>
        <w:spacing w:before="240" w:after="0"/>
        <w:jc w:val="left"/>
        <w:rPr/>
      </w:pPr>
      <w:r>
        <w:rPr>
          <w:rFonts w:ascii="Times New Roman" w:hAnsi="Times New Roman"/>
          <w:b/>
          <w:sz w:val="24"/>
        </w:rPr>
        <w:t>Investing in our securities involves certain risks. See the “</w:t>
      </w:r>
      <w:hyperlink w:anchor="toc137141_6">
        <w:r>
          <w:rPr>
            <w:rStyle w:val="InternetLink"/>
            <w:rFonts w:ascii="Times New Roman" w:hAnsi="Times New Roman"/>
            <w:b/>
            <w:sz w:val="24"/>
          </w:rPr>
          <w:t>Risk Factors</w:t>
        </w:r>
      </w:hyperlink>
      <w:r>
        <w:rPr>
          <w:rFonts w:ascii="Times New Roman" w:hAnsi="Times New Roman"/>
          <w:b/>
          <w:sz w:val="24"/>
        </w:rPr>
        <w:t xml:space="preserve">” section on page 5 of this prospectus and the risk factors we incorporate by reference herein and, if any, in the relevant prospectus supplement or free writing prospectus. This prospectus may not be used to offer or sell any securities unless it is accompanied by a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2">
              <w:r>
                <w:rPr>
                  <w:rStyle w:val="InternetLink"/>
                  <w:rFonts w:ascii="Times New Roman" w:hAnsi="Times New Roman"/>
                  <w:sz w:val="20"/>
                </w:rPr>
                <w:t>Where You Can Find More Information About 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3">
              <w:r>
                <w:rPr>
                  <w:rStyle w:val="InternetLink"/>
                  <w:rFonts w:ascii="Times New Roman" w:hAnsi="Times New Roman"/>
                  <w:sz w:val="20"/>
                </w:rPr>
                <w:t>Documents Incorporated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4">
              <w:r>
                <w:rPr>
                  <w:rStyle w:val="InternetLink"/>
                  <w:rFonts w:ascii="Times New Roman" w:hAnsi="Times New Roman"/>
                  <w:sz w:val="20"/>
                </w:rPr>
                <w:t>Disclosure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5">
              <w:r>
                <w:rPr>
                  <w:rStyle w:val="InternetLink"/>
                  <w:rFonts w:ascii="Times New Roman" w:hAnsi="Times New Roman"/>
                  <w:sz w:val="20"/>
                </w:rPr>
                <w:t>About The Campbell’s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6">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10">
              <w:r>
                <w:rPr>
                  <w:rStyle w:val="InternetLink"/>
                  <w:rFonts w:ascii="Times New Roman" w:hAnsi="Times New Roman"/>
                  <w:sz w:val="20"/>
                </w:rPr>
                <w:t>Description of Preferred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11">
              <w:r>
                <w:rPr>
                  <w:rStyle w:val="InternetLink"/>
                  <w:rFonts w:ascii="Times New Roman" w:hAnsi="Times New Roman"/>
                  <w:sz w:val="20"/>
                </w:rPr>
                <w:t>Description of Other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12">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13">
              <w:r>
                <w:rPr>
                  <w:rStyle w:val="InternetLink"/>
                  <w:rFonts w:ascii="Times New Roman" w:hAnsi="Times New Roman"/>
                  <w:sz w:val="20"/>
                </w:rPr>
                <w:t>Legal Opinions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7141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3714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utilizing a “shelf” registration process. Under this shelf registration process, we may, from time to time, sell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or a free writing prospectus that will contain specific information about the terms of that offering. The prospectus supplement or free writing prospectus may also add, update or change information contained in this prospectus. You should read this prospectus, any prospectus supplement and any free writing prospectus together with the additional information described under the heading “Where You Can Find More Information About Us.”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or incorporated by reference in this prospectus or in any related prospectus supplement or free writing prospectus prepared by us or on our behalf or to which we have referred you. We take no responsibility for, and can provide no assurance as to the reliability of, any other information that others may give you. We are offering to sell securities only in jurisdictions where offers and sales are permitted. The information contained in or incorporated by reference in this prospectus or any prospectus supplement or in any free writing prospectus is accurate only as of its respective date, regardless of the time of delivery of this prospectus, any prospectus supplement or any free writing prospectus or any sale of securities.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otherwise stated, the terms “we,” “us” and “our” refer to The Campbell’s Company and its consolidated subsidiaries. </w:t>
      </w:r>
    </w:p>
    <w:p>
      <w:pPr>
        <w:pStyle w:val="TextBody"/>
        <w:bidi w:val="0"/>
        <w:spacing w:before="480" w:after="0"/>
        <w:jc w:val="center"/>
        <w:rPr>
          <w:rFonts w:ascii="Times New Roman" w:hAnsi="Times New Roman"/>
          <w:b/>
          <w:sz w:val="20"/>
        </w:rPr>
      </w:pPr>
      <w:bookmarkStart w:id="4" w:name="toc137141_2"/>
      <w:bookmarkEnd w:id="4"/>
      <w:r>
        <w:rPr>
          <w:rFonts w:ascii="Times New Roman" w:hAnsi="Times New Roman"/>
          <w:b/>
          <w:sz w:val="20"/>
        </w:rPr>
        <w:t xml:space="preserve">WHERE YOU CAN FIND MORE INFORMATION ABOUT 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(“reports”), proxy statements and other information and documents with the SEC. The SEC maintains an internet site that contains reports, proxy and information statements and other information regarding issuers, including us, that are filed electronically with the SEC. You may read and copy any document we file electronically with the SEC on the SEC’s website located at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may also electronically access these documents through our website, www.thecampbellscompany.com, under the investor relations portion of our website. This URL and the SEC’s URL above are intended to be inactive textual references only. We are not incorporating the contents of the website into this prospectus. You may also request a copy of these filings, at no cost, by writing to or telephoning us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The Campbell’s Company </w:t>
      </w:r>
    </w:p>
    <w:p>
      <w:pPr>
        <w:pStyle w:val="TextBody"/>
        <w:bidi w:val="0"/>
        <w:spacing w:before="0" w:after="0"/>
        <w:jc w:val="left"/>
        <w:rPr>
          <w:rFonts w:ascii="Times New Roman" w:hAnsi="Times New Roman"/>
          <w:sz w:val="20"/>
        </w:rPr>
      </w:pPr>
      <w:r>
        <w:rPr>
          <w:rFonts w:ascii="Times New Roman" w:hAnsi="Times New Roman"/>
          <w:sz w:val="20"/>
        </w:rPr>
        <w:t xml:space="preserve">One Campbell Place </w:t>
      </w:r>
    </w:p>
    <w:p>
      <w:pPr>
        <w:pStyle w:val="TextBody"/>
        <w:bidi w:val="0"/>
        <w:spacing w:before="0" w:after="0"/>
        <w:jc w:val="left"/>
        <w:rPr>
          <w:rFonts w:ascii="Times New Roman" w:hAnsi="Times New Roman"/>
          <w:sz w:val="20"/>
        </w:rPr>
      </w:pPr>
      <w:r>
        <w:rPr>
          <w:rFonts w:ascii="Times New Roman" w:hAnsi="Times New Roman"/>
          <w:sz w:val="20"/>
        </w:rPr>
        <w:t xml:space="preserve">Camden, New Jersey 08103-1799 </w:t>
      </w:r>
    </w:p>
    <w:p>
      <w:pPr>
        <w:pStyle w:val="TextBody"/>
        <w:bidi w:val="0"/>
        <w:spacing w:before="0" w:after="0"/>
        <w:jc w:val="left"/>
        <w:rPr>
          <w:rFonts w:ascii="Times New Roman" w:hAnsi="Times New Roman"/>
          <w:sz w:val="20"/>
        </w:rPr>
      </w:pPr>
      <w:r>
        <w:rPr>
          <w:rFonts w:ascii="Times New Roman" w:hAnsi="Times New Roman"/>
          <w:sz w:val="20"/>
        </w:rPr>
        <w:t>856-342-4800</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filed on Form S-3 with the SEC under the Securities Act of 1933, as amended (the “Securities Act”). This prospectus does not contain all of the information set forth in the Registration Statement and the exhibits and schedules to the Registration Statement. For further information concerning us and the securities, you should read the entire Registration Statement and the additional information described under “Documents Incorporated by Reference” below. The Registration Statement has been filed electronically and may be obtained in any manner listed above. Any statements contained in this prospectus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37141_3"/>
      <w:bookmarkEnd w:id="5"/>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the following documents or information filed (File No. 1-3822) with the SEC (other than, in each case, information deemed to have been furnished or not filed in accordance with the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August 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filed with the SEC on </w:t>
            </w:r>
            <w:hyperlink r:id="rId4">
              <w:r>
                <w:rPr>
                  <w:rStyle w:val="InternetLink"/>
                  <w:rFonts w:ascii="Times New Roman" w:hAnsi="Times New Roman"/>
                  <w:sz w:val="20"/>
                </w:rPr>
                <w:t>December 9, 2025</w:t>
              </w:r>
            </w:hyperlink>
            <w:r>
              <w:rPr>
                <w:rFonts w:ascii="Times New Roman" w:hAnsi="Times New Roman"/>
                <w:sz w:val="20"/>
              </w:rPr>
              <w:t xml:space="preserve">, </w:t>
            </w:r>
            <w:hyperlink r:id="rId5">
              <w:r>
                <w:rPr>
                  <w:rStyle w:val="InternetLink"/>
                  <w:rFonts w:ascii="Times New Roman" w:hAnsi="Times New Roman"/>
                  <w:sz w:val="20"/>
                </w:rPr>
                <w:t>March 11, 2026</w:t>
              </w:r>
            </w:hyperlink>
            <w:r>
              <w:rPr>
                <w:rFonts w:ascii="Times New Roman" w:hAnsi="Times New Roman"/>
                <w:sz w:val="20"/>
              </w:rPr>
              <w:t xml:space="preserve"> and </w:t>
            </w:r>
            <w:hyperlink r:id="rId6">
              <w:r>
                <w:rPr>
                  <w:rStyle w:val="InternetLink"/>
                  <w:rFonts w:ascii="Times New Roman" w:hAnsi="Times New Roman"/>
                  <w:sz w:val="20"/>
                </w:rPr>
                <w:t>June 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with the SEC on October  8, 2025 to the extent incorporated by reference in our Annual Report on </w:t>
            </w:r>
            <w:hyperlink r:id="rId8">
              <w:r>
                <w:rPr>
                  <w:rStyle w:val="InternetLink"/>
                  <w:rFonts w:ascii="Times New Roman" w:hAnsi="Times New Roman"/>
                  <w:sz w:val="20"/>
                </w:rPr>
                <w:t>Form 10-K</w:t>
              </w:r>
            </w:hyperlink>
            <w:r>
              <w:rPr>
                <w:rFonts w:ascii="Times New Roman" w:hAnsi="Times New Roman"/>
                <w:sz w:val="20"/>
              </w:rPr>
              <w:t xml:space="preserve"> for the fiscal year ended August 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9">
              <w:r>
                <w:rPr>
                  <w:rStyle w:val="InternetLink"/>
                  <w:rFonts w:ascii="Times New Roman" w:hAnsi="Times New Roman"/>
                  <w:sz w:val="20"/>
                </w:rPr>
                <w:t>August 5, 2025</w:t>
              </w:r>
            </w:hyperlink>
            <w:r>
              <w:rPr>
                <w:rFonts w:ascii="Times New Roman" w:hAnsi="Times New Roman"/>
                <w:sz w:val="20"/>
              </w:rPr>
              <w:t xml:space="preserve">, </w:t>
            </w:r>
            <w:hyperlink r:id="rId10">
              <w:r>
                <w:rPr>
                  <w:rStyle w:val="InternetLink"/>
                  <w:rFonts w:ascii="Times New Roman" w:hAnsi="Times New Roman"/>
                  <w:sz w:val="20"/>
                </w:rPr>
                <w:t>September 5, 2025</w:t>
              </w:r>
            </w:hyperlink>
            <w:r>
              <w:rPr>
                <w:rFonts w:ascii="Times New Roman" w:hAnsi="Times New Roman"/>
                <w:sz w:val="20"/>
              </w:rPr>
              <w:t xml:space="preserve">, </w:t>
            </w:r>
            <w:hyperlink r:id="rId11">
              <w:r>
                <w:rPr>
                  <w:rStyle w:val="InternetLink"/>
                  <w:rFonts w:ascii="Times New Roman" w:hAnsi="Times New Roman"/>
                  <w:sz w:val="20"/>
                </w:rPr>
                <w:t>October  7, 2025</w:t>
              </w:r>
            </w:hyperlink>
            <w:r>
              <w:rPr>
                <w:rFonts w:ascii="Times New Roman" w:hAnsi="Times New Roman"/>
                <w:sz w:val="20"/>
              </w:rPr>
              <w:t xml:space="preserve">, </w:t>
            </w:r>
            <w:hyperlink r:id="rId12">
              <w:r>
                <w:rPr>
                  <w:rStyle w:val="InternetLink"/>
                  <w:rFonts w:ascii="Times New Roman" w:hAnsi="Times New Roman"/>
                  <w:sz w:val="20"/>
                </w:rPr>
                <w:t>November 19, 2025</w:t>
              </w:r>
            </w:hyperlink>
            <w:r>
              <w:rPr>
                <w:rFonts w:ascii="Times New Roman" w:hAnsi="Times New Roman"/>
                <w:sz w:val="20"/>
              </w:rPr>
              <w:t xml:space="preserve">, </w:t>
            </w:r>
            <w:hyperlink r:id="rId13">
              <w:r>
                <w:rPr>
                  <w:rStyle w:val="InternetLink"/>
                  <w:rFonts w:ascii="Times New Roman" w:hAnsi="Times New Roman"/>
                  <w:sz w:val="20"/>
                </w:rPr>
                <w:t>December  9, 2025</w:t>
              </w:r>
            </w:hyperlink>
            <w:r>
              <w:rPr>
                <w:rFonts w:ascii="Times New Roman" w:hAnsi="Times New Roman"/>
                <w:sz w:val="20"/>
              </w:rPr>
              <w:t xml:space="preserve">, </w:t>
            </w:r>
            <w:hyperlink r:id="rId14">
              <w:r>
                <w:rPr>
                  <w:rStyle w:val="InternetLink"/>
                  <w:rFonts w:ascii="Times New Roman" w:hAnsi="Times New Roman"/>
                  <w:sz w:val="20"/>
                </w:rPr>
                <w:t>December 15, 2025</w:t>
              </w:r>
            </w:hyperlink>
            <w:r>
              <w:rPr>
                <w:rFonts w:ascii="Times New Roman" w:hAnsi="Times New Roman"/>
                <w:sz w:val="20"/>
              </w:rPr>
              <w:t xml:space="preserve"> and </w:t>
            </w:r>
            <w:hyperlink r:id="rId15">
              <w:r>
                <w:rPr>
                  <w:rStyle w:val="InternetLink"/>
                  <w:rFonts w:ascii="Times New Roman" w:hAnsi="Times New Roman"/>
                  <w:sz w:val="20"/>
                </w:rPr>
                <w:t>June 17,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capital stock contained in Exhibit 4(l) to our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August 3, 2025, filed with the SEC on September 18, 2025, and any subsequent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document filed subsequent to the date of this prospectus pursuant to Sections 13(a), 13(c), 14 or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prospectus and to be a part hereof from the date of the filing of such documents. Any statement contained in a document filed prior to the date of this prospectus and incorporated or deemed to be incorporated herein by reference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“Where You Can Find More Information About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37141_4"/>
      <w:bookmarkEnd w:id="6"/>
      <w:r>
        <w:rPr>
          <w:rFonts w:ascii="Times New Roman" w:hAnsi="Times New Roman"/>
          <w:b/>
          <w:sz w:val="20"/>
        </w:rPr>
        <w:t xml:space="preserve">DISCLOSURE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incorporated by reference herein, contains “forward-looking” statements within the meaning of the Private Securities Litigation Reform Act of 1995. These forward-looking statements reflect our current expectations regarding our future results of operations, economic performance, financial condition and achievements. We try, wherever possible, to identify these forward-looking statements by using words such as “anticipate,” “believe,” “estimate,” “expect,” “intend,” “plan,” “pursue,” “strategy,” “target,”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We wish to caution the reader that the following important factors and those important factors described in Part I, Item 1A of our most recent Annual Report on Form 10-K filed with the SEC (as updated from time-to-time by our Quarterly Reports on Form 10-Q and Current Reports on Form 8-K filed with the SEC) could affect our actual results and could cause such results to vary materially from those expressed in any forward-looking statements made by, or on behalf of,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or volatility in financial markets, deteriorating economic conditions and other external factors, including the impact and application of new or changes to existing governmental laws, regulations,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associated with imposed and threatened tariffs by the U.S. and reciprocal tariffs by its trading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related to the availability of, and cost inflation in, supply chain inputs, including labor, raw materials, commodities, packaging and transportation, including those related to ongoing geopolitical conflicts and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or inefficiencies to our supply chain and/or operations, including reliance on key contract manufacturer and supplier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on and realize the expected benefits from our strategy, including sales growth in and/or maintenance of our market share position in snacks, soups, sauces and beverages;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strong competitive responses to our efforts to leverage brand power with product innovation, promotional programs and new advertising;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associated with trade and consumer acceptance of product improvements, shelving initiatives, new products and pricing and promotional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consumer demand for our products and favorable perception of our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cost savings and any other synergies from the Sovos Brands transaction may not be fully realized or may take longer or cost more to be realized than expected, including that the Sovos Brands transaction may not be accretive to the extent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related to the La Regina transaction, including that the benefits from the transaction may not be fully realized or may take longer or cost more to be realized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projected cost savings and benefits from cost savings initiatives and the integration of recent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effectiveness of our hedging activities and our ability to respond to volatility in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changes to our organizational structure and/or business processes, including selling, distribution, manufacturing and information management systems or processes;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inventory management practices by certain of our key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changing customer landscape, with value and e-commerce retailers expanding their market presence, while certain of our key customers maintain significance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quality and safety issues, including recalls and product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disruption to the independent contractor distribution models used by certain of our businesses, including as a result of litigation or regulatory actions affecting their independent contractor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uncertainties of litigation and regulatory actions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failure or security breach of our or our vendors’ information technology systems, including ransomware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and ability to pay such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outlook or downgrade in our public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to goodwill or other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goals and initiatives related to, and the impacts of, climate change, including from weather-related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disruption and diversion of management’s attention associated with activist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liabilities and costs related to our defined benefit pension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business disruptions or other impacts due to political instability, civil disobedience, terrorism, geopolitical conflicts, extreme weather conditions, natural disasters, pandemics or other outbreaks of disease or other calamities.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37141_5"/>
      <w:bookmarkEnd w:id="7"/>
      <w:r>
        <w:rPr>
          <w:rFonts w:ascii="Times New Roman" w:hAnsi="Times New Roman"/>
          <w:b/>
          <w:sz w:val="20"/>
        </w:rPr>
        <w:t xml:space="preserve">ABOUT THE CAMPBELL’S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manufacturer and marketer of high-quality, branded food and beverage products. We manage our businesses in two divisions focused mainly on product categories. The divisions, which represent our operating and reportable segments, are as follows: Meals &amp; Beverages and Snacks. We organized as a business corporation under the laws of New Jersey on November 23, 1922; however, through predecessor organizations, we trace our heritage in the food business back to 1869. Our principal executive offices are in Camden, New Jersey 08103-1799. We maintain a website at www.thecampbellscompany.com where general information about us is available. We are not incorporating the contents of the website into this prospectus. </w:t>
      </w:r>
    </w:p>
    <w:p>
      <w:pPr>
        <w:pStyle w:val="TextBody"/>
        <w:bidi w:val="0"/>
        <w:spacing w:before="480" w:after="0"/>
        <w:jc w:val="center"/>
        <w:rPr>
          <w:rFonts w:ascii="Times New Roman" w:hAnsi="Times New Roman"/>
          <w:b/>
          <w:sz w:val="20"/>
        </w:rPr>
      </w:pPr>
      <w:bookmarkStart w:id="8" w:name="toc137141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making a decision to invest in our securities, in addition to the other information contained in this prospectus and any prospectus supplement, you should carefully consider the risks described under “Risk Factors” in Part I, Item 1A of our Annual Report on Form 10-K for the fiscal year ended August 3, 2025, any subsequent Quarterly Reports on Form 10-Q or Current Reports on Form 8-K, in other documents that we include or incorporate by reference in this prospectus, and the risk factors and other information contained in the applicable prospectus supplement. The occurrence of any of these risks might cause you to lose all or part of your investment in the offered securities. Please also refer to the section above entitled “Disclosure Regarding Forward-Looking Statements.” See “Where You Can Find More Information About Us.” </w:t>
      </w:r>
    </w:p>
    <w:p>
      <w:pPr>
        <w:pStyle w:val="TextBody"/>
        <w:bidi w:val="0"/>
        <w:spacing w:before="480" w:after="0"/>
        <w:jc w:val="center"/>
        <w:rPr>
          <w:rFonts w:ascii="Times New Roman" w:hAnsi="Times New Roman"/>
          <w:b/>
          <w:sz w:val="20"/>
        </w:rPr>
      </w:pPr>
      <w:bookmarkStart w:id="9" w:name="toc13714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describe a different use of proceeds from an offering in the related prospectus supplement, we intend to use the net proceeds from the sales of the securities offered by this prospectus for general corporate purposes, which may include, but are not limited to, funding for working capital, payment of dividends, capital expenditures, repurchases of our capital stock, repayment of debt, and acquisitions. We may temporarily invest funds that are not immediately needed for these purposes in short-term investments, including, but not limited to, marketable securities. </w:t>
      </w:r>
    </w:p>
    <w:p>
      <w:pPr>
        <w:pStyle w:val="TextBody"/>
        <w:bidi w:val="0"/>
        <w:spacing w:before="480" w:after="0"/>
        <w:jc w:val="center"/>
        <w:rPr>
          <w:rFonts w:ascii="Times New Roman" w:hAnsi="Times New Roman"/>
          <w:b/>
          <w:sz w:val="20"/>
        </w:rPr>
      </w:pPr>
      <w:bookmarkStart w:id="10" w:name="toc137141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which may be convertible or non-convertible, in one or more series under the indenture, dated as of March 19, 2015, between us and Computershare Trust Company, N.A. (as successor in interest to Wells Fargo Bank, National Association), as retiring trustee, as amended and supplemented by the First Supplemental Indenture, dated as of August 17, 2023 among us, Computershare Trust Company, N.A. (as successor in interest to Wells Fargo Bank, National Association), as retiring trustee, and U.S. Bank Trust Company, National Association, as successor trustee for any series of debt securities issued in the future, which we refer to as the “senior indenture.” We may also issue subordinated debt securities, which may be convertible or non-convertible, in one or more series under the indenture to be entered into between us and U.S. Bank Trust Company, National Association, as trustee, which we refer to as the “subordinated indenture” and together with the senior indenture as the “indentures” or each of the senior indenture and the subordinated indenture individually, as the “applicable indenture.” For purposes of this section, we refer to: (i) the senior debt securities together with the subordinated debt securities as the “debt securities;” and (ii) U.S. Bank Trust Company, National Association, or any successor or additional trustee, in its respective capacity as trustee under the applicable indenture, as the “trustee.” The indentures are filed as exhibits to the registration statement that includes this prospectus. See “Where You Can Find More Information About Us” for information on how to obtain copies of the indentures. The indentures have been qualified under the Trust Indenture Act of 1939, as amended, which we refer to as the “Trust Indenture Act.” This summary of the indentures and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to terms and conditions applicable to the debt securities generally. We will summarize the particular terms of any series of debt securities in the applicable prospectus supplement. If indicated in the prospectus supplement, the terms of any series may differ from the terms summarized below. Because the summary of the material provisions of the indentures and the debt securities set forth below and the summary of the material terms of a particular series of debt securities set forth in the applicable prospectus supplement are not complete, you should refer to the indentures and the debt securities for complete information regarding the terms and provisions of the indentures (including defined terms) and the debt securities. Wherever we refer to particular articles, sections or defined terms of the indentures in this prospectus or in a prospectus supplement, those articles, sections or defined terms are incorporated in this prospectus and the prospectus supplement by reference, and the statement with respect to which such reference is made is qualified in its entirety by such reference. In addition, unless specified otherwise, references to such particular articles, sections or defined terms are applicable to both the senior indenture and the subordinated indenture. Capitalized terms used and not otherwise defined in this section shall have the meanings assigned to them in the applicable indenture. In this “Description of Debt Securities,” the terms the “Company,” “we,” “us” and “our” refer to The Campbell’s Company only, and do not include our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be unsecured and will rank on parity with all of our other unsecured and unsubordinated obligations. Unless otherwise provided in the prospectus supplement, each series of subordinated debt securities will rank equally with all other series of subordinated debt securities issued under the subordinated indenture and will be unsecured and subordinate and junior in right of payment to all of our senior debt (as defined below). See “—Subordination Under Subordinated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amount of debt securities which we may issue under the indentures and provide that debt securities may be issued thereunder up to the aggregate principal amount which our board of directors may authorize from time to time. Debt securities may be issued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the prospectus supplement relating to any particular series of debt securities we may offer for the following terms of such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(expressed as a percentage of the aggregate principal amount thereof) at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offered debt securities will mature;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rate, if any, at which the offered debt securities will bear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from which such interest, if any, on the offered debt securities will accrue, the dates on which such interest, if any, will be payable, the date on which payment of such interest, if any, will commence and, with respect to offered debt securities in registered form, the regular record dates for such interest payment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optional or mandatory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and the price or prices at which the offered debt securities may, pursuant to any optional or mandatory redemption provisions, be redeemed at our option or at the option of the holder and any other terms and provisions of such optional or mandatory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any offered debt securities of a series which are registered securities will be issuable if other than denominations of $1,000 and any integral multiple thereof, and the denominations in which any offered debt securities of the series which are bearer securities will be issuable if other than denominations of $5,000;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offered debt securities of the series which will be payable upon declaration of acceleration of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with respect to the offered debt securities of the series, if not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payment of the principal of (and premium, if any) and interest, if any, on the offered debt securities of the series will be payable (if other than the currency of the United States of America), which unless otherwise specified will be the currency of the United States of America as at the time of payment which is the legal tender for payment of public or private debts;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(and premium, if any), or interest, if any, on the offered debt securities of the series is to be payable, at our election or at the election of any holder thereof, in a coin or currency other than that in which the offered debt securities of the series are stated to be payable, the period or periods within which, and the terms and conditions upon which, such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(m)</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offered debt securities are to be denominated in a currency or currencies, including composite currencies, other than the currency of the United States of America, the equivalent price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of (and premium if any), or portions thereof, or interest, if any, on the offered debt securities of the series may be determined with reference to an index, formula or other method,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issuable in registered or bearer form or both, any restrictions applicable to the offer, sale or delivery of any offered debt securities issuable in bearer form and whether, and, if so, the terms upon which, any offered debt securities in bearer form will be exchangeable for offered debt securities in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offered debt securities are to be issued in whole or in part in the form of one or more global securities and, if so, the method of transferring beneficial interests in such global security or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(q)</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of any series shall be issued upon original issuance in whole or in part in the form of one or more book-entry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if any, of certain provisions of the applicable indenture relating to defeasance and discharge, and certain conditions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(s)</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offered debt securities of the series, any deletions from, modifications of or additions to the events of default or any covenants, whether or not such events of default or covenants are consistent with the events of default or covenants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U.S. federal income tax consequences applicable to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(u)</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any provisions regarding subordination;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terms not inconsistent with the provisions of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securities of a series may be issued in registered form or bearer form or both as specified in the terms of the series, may be issued in whole or in part in the form of one or more global securities and may be issued as book-entry securities that will be deposited with, or on behalf of, The Depository Trust Company, or another depositary named by the Company and identified in a prospectus supplement with respect to such series. The prospectus supplement will specify whether the offered debt securities will be registered, bearer, global or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represented by such global security for all purposes. Except in certain circumstances, owners of beneficial interests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w:t>
      </w:r>
    </w:p>
    <w:p>
      <w:pPr>
        <w:pStyle w:val="TextBody"/>
        <w:bidi w:val="0"/>
        <w:spacing w:before="240" w:after="0"/>
        <w:jc w:val="left"/>
        <w:rPr>
          <w:rFonts w:ascii="Times New Roman" w:hAnsi="Times New Roman"/>
          <w:sz w:val="20"/>
        </w:rPr>
      </w:pPr>
      <w:r>
        <w:rPr>
          <w:rFonts w:ascii="Times New Roman" w:hAnsi="Times New Roman"/>
          <w:sz w:val="20"/>
        </w:rPr>
        <w:t xml:space="preserve">Unless the prospectus supplement relating to the debt securities specifies otherwise, debt securities denominated in U.S. dollars will be issued only in denominations of $1,000 or any integral multiple thereof, and bearer securities denominated in U.S. dollars will be issued only in denominations of $5,000. The prospectus supplement relating to a series of debt securities denominated in a foreign or composite currency will specify the denomination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and subject to the terms of the applicable indenture, bearer securities (with all unmatured coupons, except as provided below, and all matured coupons in default) of any series will be exchangeable into an equal aggregate principal amount of registered securities or, in the case of global bearer securities, registered securities or bearer securities of the same series (with the same interest rate and maturity date). Bearer securities surrendered in exchange for registered securities between the record date and the relevant date for payment of interest will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Registered securities of any series will be exchangeable into an equal aggregate principal amount of registered securities of the same series (with the same interest rate and maturity date) of different authorized denominations. Registered securities may not be exchanged for bearer securities. </w:t>
      </w:r>
    </w:p>
    <w:p>
      <w:pPr>
        <w:pStyle w:val="TextBody"/>
        <w:bidi w:val="0"/>
        <w:spacing w:before="240" w:after="0"/>
        <w:jc w:val="left"/>
        <w:rPr>
          <w:rFonts w:ascii="Times New Roman" w:hAnsi="Times New Roman"/>
          <w:sz w:val="20"/>
        </w:rPr>
      </w:pPr>
      <w:r>
        <w:rPr>
          <w:rFonts w:ascii="Times New Roman" w:hAnsi="Times New Roman"/>
          <w:sz w:val="20"/>
        </w:rPr>
        <w:t xml:space="preserve">A book-entry security may not be registered for transfer or exchange (other than as a whole by the depository to a nominee or by such nominee to such depository)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depository or such nominee notifies us that it is unwilling or unable to continue as depository,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depository ceases to be qualified as required by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instruct the trustee in accordance with the applicable indenture that such book-entry securities shall be so registrable and exchangeable,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occurred and be continuing an event of default or an event which after notice or lapse of time would be an event of default with respect to the debt securities evidenced by such book-entry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exist such other circumstances, if any,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holder agrees to indemnify the Company and the trustee against any liability that may result from the holder’s transfer, exchange or assignment of a security in violation of any provision of the applicable indenture and/or applicable United States federal or state securities law. The trustee shall have no obligation or duty to monitor, determine or inquire as to compliance with any restrictions on transfer imposed under the applicable indenture or under applicable law with respect to any transfer of a security (including any transfers between or among depositary participants or beneficial owners of interests in any global security) other than to require delivery of such certificates and other documentation or evidence as the applicable indenture expressly requires.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any transfer or exchange of the debt securities,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prospectus supplement, principal (and premium, if any) will be payable and registered securities will be transferable at the corporate trust office of the trustee or such other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 may appoint from time to time, as specified in the applicable prospectus supplement. Unless other arrangements are made, we will pay interest, if any, by checks mailed to the holders of registered securities at their registered addresses. We will make payment with respect to debt securities represented by a global security registered in the name of a depository or its nominee to the depository or its nominee, as the case may be, as the registered owner of the global security. To the extent set forth in the prospectus supplement relating thereto, any bearer securities and the coupons appertaining thereto will be payable against surrender thereof, subject to any applicable laws and regulations, at the offices of such paying agencies outside the United States as we may appoint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U.S. federal income tax consequences and other special considerations applicable to any such discounted debt securities will be described in the prospectus supplement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indentures, we will have the ability to issue debt securities with terms different from those of debt securities previously issued.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Restrictions on Secured Debt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or any Restricted Subsidiary shall incur or guarantee any evidence of indebtedness for money borrowed (“Debt”) secured by a mortgage, pledge or lien (“Mortgage”) on any Principal Property of the Company or any Restricted Subsidiary, or on any share of stock or Debt of any Restricted Subsidiary, the Company will secure or cause such Restricted Subsidiary to secure all series of debt securities equally and ratably with (or, at the Company’s option, prior to) such secured Debt, unless the aggregate amount of all such secured Debt, together with all Attributable Debt with respect to sale and leaseback transactions involving Principal Properties (with the exception of such transactions which are excluded as described in “Restrictions on Sales and Leasebacks” below), would not exceed 10% of Consolidated Net Assets. </w:t>
      </w:r>
    </w:p>
    <w:p>
      <w:pPr>
        <w:pStyle w:val="TextBody"/>
        <w:bidi w:val="0"/>
        <w:spacing w:before="240" w:after="0"/>
        <w:jc w:val="left"/>
        <w:rPr>
          <w:rFonts w:ascii="Times New Roman" w:hAnsi="Times New Roman"/>
          <w:sz w:val="20"/>
        </w:rPr>
      </w:pPr>
      <w:r>
        <w:rPr>
          <w:rFonts w:ascii="Times New Roman" w:hAnsi="Times New Roman"/>
          <w:sz w:val="20"/>
        </w:rPr>
        <w:t xml:space="preserve">The above restriction will not apply to, and there will be excluded from secured Debt in any computation under such restrictions,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on property of, or on any shares of stock or Debt of, any corporation existing at the time such corporation becomes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the Company or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governmental bodies to secure progress, advance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on property, shares of stock or Debt existing at the time of acquisition thereof, including acquisition through merger or consolidation, and purchase money and construction Mortgages which are entered into within specified time limits,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securing certain federal tax-exempt obligations issued by a state or local government entity to finance the acquisition or construction of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mechanics and similar liens arising in the ordinary course of business in respect of obligations not due or being contested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arising from deposits with or the giving of any form of security to any governmental authority required as a condition in the transaction of business or exercise of any privilege, franchise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for taxes, assessments or governmental charges or levies which are not then due or, if delinquent, are being contested in good faith,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including judgment liens, arising from legal proceedings being contested in good faith,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refunding of any Mortgage referred to in the foregoing clauses (a) through (i) inclusive.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Sales and Leasebacks </w:t>
      </w:r>
    </w:p>
    <w:p>
      <w:pPr>
        <w:pStyle w:val="TextBody"/>
        <w:bidi w:val="0"/>
        <w:spacing w:before="120" w:after="0"/>
        <w:jc w:val="left"/>
        <w:rPr>
          <w:rFonts w:ascii="Times New Roman" w:hAnsi="Times New Roman"/>
          <w:sz w:val="20"/>
        </w:rPr>
      </w:pPr>
      <w:r>
        <w:rPr>
          <w:rFonts w:ascii="Times New Roman" w:hAnsi="Times New Roman"/>
          <w:sz w:val="20"/>
        </w:rPr>
        <w:t xml:space="preserve">Neither the Company nor any Restricted Subsidiary may enter into any sale and leaseback transaction involving any Principal Property, unless the aggregate amount of all Attributable Debt with respect to such transactions plus all Debt secured by Mortgages on Principal Properties (with the exception of secured Debt which is excluded as described in “Restrictions on Secured Debt” above) would not exceed 10% of Consolidated Net Assets.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will not apply to, and there shall be excluded from Attributable Debt in any computation under such restriction, any sale and leaseback transaction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is for a period, including renewal rights, not in excess of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such Restricted Subsidiary, within 180 days after the sale is completed, applies to the retirement of debt securities or Funded Debt of the Company or a Restricted Subsidiary ranking on parity with or senior to the debt securities, or to the purchase of other property which will constitute Principal Property of a value at least equal to the value of the Principal Property leased, an amount not less than the greater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of the sale of the Principal Property leased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the Principal Property leased,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and leaseback of the Principal Property is entered into prior to, at the time of, or within 180 days after the later of its acquisition or completion of its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secures or relates to certain federal tax-exempt obligations issued by a state or local government entity to finance the acquisition or construction of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between the Company and a Restricted Subsidiary or between Restricted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lieu of applying proceeds to the retirement of Funded Debt, debentures or notes (including the debt securities) of the Company or a Restricted Subsidiary may be surrendered to the applicable trustee for cancellation at a value equal to the principal amount thereof or the Company or a Restricted Subsidiary may credit the principal amount of Funded Debt voluntarily retired within 180 days after such sale.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the covenants contained in the indentures and the debt securities would not necessarily afford holders of the debt securities protection in the event of a highly leveraged or other transaction involving the Company that may adversely affect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pPr>
      <w:r>
        <w:rPr/>
        <w:t>“</w:t>
      </w:r>
      <w:r>
        <w:rPr>
          <w:rFonts w:ascii="Times New Roman" w:hAnsi="Times New Roman"/>
          <w:sz w:val="20"/>
        </w:rPr>
        <w:t xml:space="preserve">Attributable Debt” means, as to any particular lease under which any Person is at the time liable and at any date as of which the amount thereof is to be determined, the total net amount of rent required to be paid by such Person under such lease during the remaining primary term thereof, discounted from the respective due dates thereof to such date at the actual percentage rate inherent in such arrangements as determined in good faith by the Company. The net amount of rent required to be paid under any such lease for any such period shall be the aggregate amount of the amount payable by the lessee with respect to such period after excluding amounts required to be paid on account of maintenance and repairs, insurance, taxes, assessments, water rates and similar charges. In the case of any lease which is terminable by the lessee upon the payment of a penalty, such net amount shall also include the amount of such penalty, but no rent shall be considered as required to be paid under such lease subsequent to the first date upon which it may be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Consolidated Net Assets” means total assets after deducting therefrom all current liabilities as set forth on the most recent balance sheet of the Company and its consolidated subsidiaries and computed in accordance with generally accepted accounting principles. </w:t>
      </w:r>
    </w:p>
    <w:p>
      <w:pPr>
        <w:pStyle w:val="TextBody"/>
        <w:bidi w:val="0"/>
        <w:spacing w:before="240" w:after="0"/>
        <w:jc w:val="left"/>
        <w:rPr/>
      </w:pPr>
      <w:r>
        <w:rPr/>
        <w:t>“</w:t>
      </w:r>
      <w:r>
        <w:rPr>
          <w:rFonts w:ascii="Times New Roman" w:hAnsi="Times New Roman"/>
          <w:sz w:val="20"/>
        </w:rPr>
        <w:t xml:space="preserve">Funded Debt” means (a) all indebtedness for money borrowed having a maturity of more than 12 months from the date as of which the determination is made or having a maturity of 12 months or less but by its terms being renewable or extendable beyond 12 months from such date at the option of the borrower and (b) rental obligations payable more than 12 months from such date under leases which are capitalized in accordance with generally accepted accounting principles (such rental obligations to be included as Funded Debt at the amount so capitalized). </w:t>
      </w:r>
    </w:p>
    <w:p>
      <w:pPr>
        <w:pStyle w:val="TextBody"/>
        <w:bidi w:val="0"/>
        <w:spacing w:before="240" w:after="0"/>
        <w:jc w:val="left"/>
        <w:rPr/>
      </w:pPr>
      <w:r>
        <w:rPr/>
        <w:t>“</w:t>
      </w:r>
      <w:r>
        <w:rPr>
          <w:rFonts w:ascii="Times New Roman" w:hAnsi="Times New Roman"/>
          <w:sz w:val="20"/>
        </w:rPr>
        <w:t xml:space="preserve">Person” means any individual, corporation, partnership, joint venture, association,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sz w:val="20"/>
        </w:rPr>
        <w:t xml:space="preserve">Principal Property” means any manufacturing or processing plant or warehouse owned at the date hereof or hereafter acquired by the Company or any Restricted Subsidiary of the Company which is located within the United States of America and the gross book value (including related land and improvements thereon and all machinery and equipment included therein without deduction of any depreciation reserves) of which on the date as of which the determination is being made exceeds 2% of Consolidated Net Assets other than (a) any property which in the opinion of the board of directors is not of material importance to the total business conducted by the Company as an entirety or (b) any portion of a particular property which is similarly found not to be of material importance to the use or operation of such property. </w:t>
      </w:r>
    </w:p>
    <w:p>
      <w:pPr>
        <w:pStyle w:val="TextBody"/>
        <w:bidi w:val="0"/>
        <w:spacing w:before="240" w:after="0"/>
        <w:jc w:val="left"/>
        <w:rPr/>
      </w:pPr>
      <w:r>
        <w:rPr/>
        <w:t>“</w:t>
      </w:r>
      <w:r>
        <w:rPr>
          <w:rFonts w:ascii="Times New Roman" w:hAnsi="Times New Roman"/>
          <w:sz w:val="20"/>
        </w:rPr>
        <w:t xml:space="preserve">Restricted Subsidiary” means a subsidiary of the Company (a) substantially all the property of which is located, or substantially all the business of which is carried on, within the United States of America and (b) which owns a Principal Property, but does not include a subsidiary of the Company engaged primarily in the development and sale or financing of real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Merger and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merge or sell, convey, transfer or lease all or substantially all of its assets unless the successor Person is the Company or another Person that assumes the Company’s obligations on the debt securities and under the indentures and, after giving effect to such transaction, the Company or the successor Person would not be in default under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define “events of default” with respect to the debt securities of any series as being one of the following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that series for 30 days after becoming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(or premium, if any) on that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of any sinking fund payment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any other covenant with respect to the debt securities of that series or in the indenture (other than a covenant included in the indenture solely for the benefit of any series of debt securities other than that series) continued for 90 days after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contain no events of default or other provisions which specifically afford holders of the debt securities protection in the event of a highly leveraged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shall occur and be continuing with respect to the debt securities of any series, either the trustee or the holders of at least 25% in principal amount of the debt securities of that series then outstanding may declare the principal (or such portion thereof as may be specified in the prospectus supplement relating to such series) of the debt securities of such series and the accrued interest thereon, if any, to be due and payable. Each indenture provides that the trustee shall, within 90 days after the occurrence of a default known to a responsible officer of the trustee, give the holders of debt securities notice of all uncured defaults known to it (the term “default” to mean the events specified above without grace periods); provided that, except in the case of default in the payment of principal of or interest on any debt security, the trustee shall be protected in withholding such notice if it in good faith determines the withholding of such notice is in the interest of the holders of debt securities. At any time after such declaration of acceleration has been made, but before a judgment or decree for payment of the money due has been obtained by the trustee, the holders of a majority in principal amount of the debt securities of that series then outstanding, by written notice to the Company and the trustee, may, in certain circumstances, rescind and annul such declaration.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indenture, the Company will furnish to the trustee annually a statement by certain officers of the Company to the effect that to the best of their knowledge the Company is not in default in the fulfillment of any of its obligations under the indenture or, if there has been a default in the fulfillment of any such obligation, specifying each such default. In addition, so long as any of the debt securities are outstanding, the Company shall, within five business days of the chief financial officer, the treasurer or the controller of the Company obtaining actual knowledge of a default or event of default with respect to the debt securities, deliver to the trustee an Officers’ Certificate specifying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any series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with respect thereto. Each indenture will provide that in case an event of default shall occur and be continuing, the trustee shall exercise such of its rights and powers under such indenture, and use the same degree of care and skill in its exercise, as a prudent man would exercise or use under the circumstances in the conduct of his own affairs. Subject to such provisions, the trustee will be under no obligation to exercise any of its rights or powers under such indenture at the request of any of the holders of debt securities unless they first shall have offered to the trustee security or indemnity against the costs, expenses and liabilities which might be incurred by it in compliance with such request.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and Waiver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the Company and the trustee may enter into supplemental indentures with respect to such indenture without the consent of the holders of the debt securities governed by such indenture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 successor corporation of the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for the protection of the holders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eliminate any provision of the applicable indenture, provided such change or elimination shall become effective only when there is no debt security of any series outstanding prior to the supplemental indenture with benefits from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and related coupons,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to correct or supplement any provision in the applicable indenture which may be defective or inconsistent with any other provision in the applicable indenture; or to make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283"/>
              <w:jc w:val="left"/>
              <w:rPr/>
            </w:pPr>
            <w:r>
              <w:rPr/>
              <w:t xml:space="preserve">provisions with respect to matters or questions arising under the applicable indenture, provided that such action does not adversely affect the interests of the holders in any material respect,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applicable indenture or any debt security issued thereunder to any provision in this “Description of Debt Securities” or in the corresponding section of any prospectus supplement to the extent such provision in this “Description of Debt Securities” or in the corresponding section of any prospectus supplement was intended to be a verbatim recitation of a provision in the applicable indenture or such security, as set forth in an Officers’ Certificate.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indenture, with certain exceptions, the indenture may be modified or amended with the consent of the holders of not less than a majority in principal amount of the outstanding debt securities of each series governed by such indenture that is affected by the modification; provided, however, that no such modification or amendment may be made, without the consent of the holder of each debt security affected, which would,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interest on any debt security, change the stated maturity of the principal of, or any installment of interest on, any debt security or the other terms of payment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above-stated percentage of debt securities, the consent of the holders of which is required to modify or amend the indenture, or the percentage of debt securities of any series, the consent of the holders of which is required to waive certain past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of the Company to maintain an office or agency in the places and for the purposes specified in Section 10.02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referred to in clauses (a), (b) and (c) above or clauses (a) and (b) below, except to increase the percentages referred to below or to provide that certain other provisions of the indenture cannot be modified or waived without the consent of the holder of each outstanding debt security affected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the subordinated indenture, modify the provisions with respect to the subordination of outstanding subordinated debt securities in a manner materially adverse to the holders of outstanding subordinated debt securities of a series without the consent of 75% in aggregate principal amount of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indenture, the holders of at least a majority in principal amount of the debt securities of each series outstanding may, on behalf of the holders of all the debt securities of that series, waive, insofar as that series is concerned, (a) compliance by the Company with certain restrictive provisions of the indenture and (b) any past default under the indenture, except a default (1) in the payment of principal of (and premium, if any) or any interest on any debt security of such series and (2) in respect of a covenant, or provision of the indenture which cannot be modified or amended without the consent of the holder of each debt security of such series outstanding affected; provided that in the case of the subordinated indenture, the waiver of provisions with respect to the subordination of the outstanding subordinated debt securities in a manner materially adverse to the holders of outstanding subordinated debt securities of a series requires the consent of the holders of at least 75% in aggregate principal amount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with respect to such indenture the Company may specify that, with respect to the debt securities of a certain series, it will be discharged from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upon the deposit with the trustee, in trust, of money and/or U.S. government obligations which through the payment of interest and principal thereof in accordance with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If so specified with respect to the debt securities of a series, such a trust may only be established if establishment of the trust would not cause the debt securities of any such series listed on any nationally recognized securities exchange to be de-listed as a result thereof. Also, if so specified with respect to a series of debt securities, such establishment of such a trust may be conditioned on the delivery by the Company to the trustee of an opinion of counsel (who may be counsel to the Company) to the effect that, based upon applicable U.S. federal income tax law or a ruling published by the United States Internal Revenue Service,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Under Subordinated Indenture </w:t>
      </w:r>
    </w:p>
    <w:p>
      <w:pPr>
        <w:pStyle w:val="TextBody"/>
        <w:bidi w:val="0"/>
        <w:spacing w:before="120" w:after="0"/>
        <w:jc w:val="left"/>
        <w:rPr>
          <w:rFonts w:ascii="Times New Roman" w:hAnsi="Times New Roman"/>
          <w:sz w:val="20"/>
        </w:rPr>
      </w:pPr>
      <w:r>
        <w:rPr>
          <w:rFonts w:ascii="Times New Roman" w:hAnsi="Times New Roman"/>
          <w:sz w:val="20"/>
        </w:rPr>
        <w:t xml:space="preserve">In the subordinated indenture, we have agreed, and holders of subordinated debt securities will be deemed to have agreed, that any subordinated debt securities are subordinate and junior in right of payment to all senior debt to the extent provided in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any payment or distribution of assets to creditors upon any liquidation or dissolution, assignment for the benefit of creditors, marshaling of assets or any bankruptcy, reorganization, insolvency, receivership, arrangement, adjustment, composition, or similar proceeding in connection with our insolvency or bankruptcy, the holders of senior debt will first be entitled to receive payment in full of all principal and any interest, penalties, fees, indemnifications, reimbursements, damages and other liabilities payable (including interest after the commencement of any bankruptcy proceeding at the rate specified in the applicable senior debt), on the senior debt before the holders of subordinated debt securities will be entitled to receive or retain any payment of the principal of, premium, if any, or interest, if any, on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make any payments of principal and any interest, penalties, fees, indemnifications, reimbursements, damages and other liabilities payable, on the subordinated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any payment on designated senior debt then exists,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on any series of designated senior debt resulting in the acceleration of its maturity then exists.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use the term “designated senior debt” we mean, indebtedness, whether incurred on, prior to, or after, the date of the subordinated indenture, outstanding under a senior credit agreement or any other indebtedness for money borrowed that is issued as a replacement or refinancing of such debt facilities; and any other senior debt the principal amount of which is $25.0 million or more and that has been designated by the Company to the trustee as “designated senior debt.”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“senior debt”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obligation of, or any obligation guaranteed by the Company for money borrowed or purchased, including without limitation the designated senior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or guaranteed by, the Company evidenced by bonds, debentures, notes or other similar instruments,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obligation of, or guaranteed by, the Company associated with derivative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unless the instrument creating or evidencing that debt or pursuant to which that debt is outstanding states that those obligations are not superior in right of payment to the subordinated debt securities or to other debt which ranks equally with, or junior to, the subordinated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senior debt will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liability for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intercompany indebtedness of our company, any of our subsidiaries or any of our or their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trade payables,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debt of our company which, when incurred and without regard to any election under Section 1111(b) of Title 11 of the United States Code, was without recourse to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provides that we may change the subordination provisions, including the definitions of “senior debt” and “designated senior debt,” relating to any particular issue of subordinated debt securities prior to issuance. We will describe any change in the prospectus supplement relating to the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U.S. Bank Trust Company, National Association, as the trustee under each of the indentures and as initial security registrar with regard to any debt securities issued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may remove the trustee with or without cause if we so notify the trustee six months in advance and if no event of default occurs during the six-month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37141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material terms of our capital stock. Because this section is a summary, it does not describe every aspect of our capital stock. For additional information, refer to the applicable provisions of the New Jersey Business Corporation Act, as amended (the “Act”), our Restated Certificate of Incorporation, as amended (the “Charter”), and By-Laws, as amended (the “By-Laws”). Our Charter and By-Laws are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shares consist of 560,000,000 shares of capital stock, $0.0375 par value per share, and 40,000,000 shares of preferred stock issuable in one or more classes and series of any class. The shares of preferred stock of each class are without par value unless the amendment creating such class provides for a par value.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shares of our capital stock are, and any shares of capital stock offered by a future prospectus supplement when issued and paid for will be,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capital stock are entitled to such dividends as may be lawfully declared from time to time by our board of directors from our assets legally available for the payment of dividends, subject to the provisions of our preferred stock and in compliance with the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capital stock are entitled to one vote for each share held by them on all matters presented to holders of our capital stock and may not cumulate their votes in an election for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After satisfaction of our creditors and the preferential liquidation rights of any preferred stock, the holders of our capital stock are entitled to share, ratably, in the distribution of all remaining net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capital stock have no conversion, redemption or preemptive rights to subscribe to or acquire any of our securities. Our capital stock is not entitled to the benefit of any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capital stock is listed on The Nasdaq Stock Market LLC under the symbol “CPB.”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Charter, By-Laws and New Jersey Business Corporation Act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by the affirmative vote of two-thirds of the directors in office, may remove a director for cause where, in their judgment, the continuation of the director in office would be harmful to our interests and may suspend the director for a reasonable period pending final determination that cause exists for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New Jersey Shareholders Protection Act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14A-10A of the Act, which is known as the “Shareholders Protection Act.” </w:t>
      </w:r>
    </w:p>
    <w:p>
      <w:pPr>
        <w:pStyle w:val="TextBody"/>
        <w:bidi w:val="0"/>
        <w:spacing w:before="240" w:after="0"/>
        <w:jc w:val="left"/>
        <w:rPr>
          <w:rFonts w:ascii="Times New Roman" w:hAnsi="Times New Roman"/>
          <w:sz w:val="20"/>
        </w:rPr>
      </w:pPr>
      <w:r>
        <w:rPr>
          <w:rFonts w:ascii="Times New Roman" w:hAnsi="Times New Roman"/>
          <w:sz w:val="20"/>
        </w:rPr>
        <w:t>Generally, the Shareholders Protection Act prohibits a publicly held New Jersey corporation with its principal executive offices or significant business operations in New Jersey, like us, from engaging in any “business combination” with any “interested stockholder” of that corporation for a period of five years following the time at which that stockholder became an “interested stockholder”</w:t>
      </w:r>
      <w:r>
        <w:rPr>
          <w:rFonts w:ascii="Times New Roman" w:hAnsi="Times New Roman"/>
          <w:i/>
          <w:sz w:val="20"/>
        </w:rPr>
        <w:t>.</w:t>
      </w:r>
      <w:r>
        <w:rPr>
          <w:rFonts w:ascii="Times New Roman" w:hAnsi="Times New Roman"/>
          <w:sz w:val="20"/>
        </w:rPr>
        <w:t xml:space="preserve"> An exception applies if (1) the business combination is approved by the board of directors before the stockholder becomes an “interested stockholder”; or (2) the transaction or series of related transactions which caused the stockholder to become an “interested stockholder” was approved by the board of directors prior to the stockholder becoming an “interested stockholder” and any subsequent business combinations with that interested stockholder are approved by the board of directors, provided that any such subsequent business combination is approved by (a) the board of directors, or a committee of that board, consisting solely of persons who are not employees, officers, directors, stockholders, affiliates or associates of that interested stockholder, and (b) the affirmative vote of the holders of a majority of the voting stock not beneficially owned by such interested stockholder at a meeting called for such purpose. </w:t>
      </w:r>
    </w:p>
    <w:p>
      <w:pPr>
        <w:pStyle w:val="TextBody"/>
        <w:bidi w:val="0"/>
        <w:spacing w:before="240" w:after="0"/>
        <w:jc w:val="left"/>
        <w:rPr>
          <w:rFonts w:ascii="Times New Roman" w:hAnsi="Times New Roman"/>
          <w:sz w:val="20"/>
        </w:rPr>
      </w:pPr>
      <w:r>
        <w:rPr>
          <w:rFonts w:ascii="Times New Roman" w:hAnsi="Times New Roman"/>
          <w:sz w:val="20"/>
        </w:rPr>
        <w:t>Covered business combinations include certain mergers, dispositions of assets, issuances or transfers of shares and recapitalizations</w:t>
      </w:r>
      <w:r>
        <w:rPr>
          <w:rFonts w:ascii="Times New Roman" w:hAnsi="Times New Roman"/>
          <w:i/>
          <w:sz w:val="20"/>
        </w:rPr>
        <w:t>.</w:t>
      </w:r>
      <w:r>
        <w:rPr>
          <w:rFonts w:ascii="Times New Roman" w:hAnsi="Times New Roman"/>
          <w:sz w:val="20"/>
        </w:rPr>
        <w:t xml:space="preserve"> An “interested stockholder” is (1) any person that directly or indirectly beneficially owns 10% or more of the voting power of the outstanding voting stock of the Company; or (2) any “affiliate” or “associate” of ours that directly or indirectly beneficially owned 10% or more of the voting power of the then-outstanding stock of the Company at any time within a five-year period immediately prior to the date in question.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Shareholders Protection Act, we may not engage in a business combination with an interested stockholder at any time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approved the business combination prior to the time the stockholder became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two-thirds of our voting stock (which includes capital stock) not beneficially owned by the interested stockholder affirmatively vote to approve the business combination at a meeting called for that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received by the non-interested stockholders in the business combination meets the standards of the statute, which is designed to ensure that all other shareholders receive at least the highest price per share paid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business combination is approved by (a) the board of directors, or a committee of the board of directors consisting solely of persons who are not employees, officers, directors, stockholders, affiliates or associates of the interested stockholder prior to the consummation of the business combination;</w:t>
            </w:r>
            <w:r>
              <w:rPr>
                <w:rFonts w:ascii="Times New Roman" w:hAnsi="Times New Roman"/>
                <w:sz w:val="20"/>
                <w:u w:val="single"/>
              </w:rPr>
              <w:t> and</w:t>
            </w:r>
            <w:r>
              <w:rPr>
                <w:rFonts w:ascii="Times New Roman" w:hAnsi="Times New Roman"/>
                <w:sz w:val="20"/>
              </w:rPr>
              <w:t xml:space="preserve"> (b) the affirmative vote of the holders of a majority of the voting stock (excluding that beneficially owned by the interested stockholder) at a meeting called for that purpose if the transaction or series of related transactions with the interested stockholder which caused the person to become an interested stockholder was approved by the board of directors prior to the consummation of that transaction or series of related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New Jersey corporation that has publicly traded voting stock may not opt out of these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wishing to nominate persons for election to the board of directors at an annual meeting or to propose any business to be considered by our stockholders at an annual meeting must comply with certain advance notice and other requirements set forth in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Vacancies </w:t>
      </w:r>
    </w:p>
    <w:p>
      <w:pPr>
        <w:pStyle w:val="TextBody"/>
        <w:bidi w:val="0"/>
        <w:spacing w:before="120" w:after="0"/>
        <w:jc w:val="left"/>
        <w:rPr>
          <w:rFonts w:ascii="Times New Roman" w:hAnsi="Times New Roman"/>
          <w:sz w:val="20"/>
        </w:rPr>
      </w:pPr>
      <w:r>
        <w:rPr>
          <w:rFonts w:ascii="Times New Roman" w:hAnsi="Times New Roman"/>
          <w:sz w:val="20"/>
        </w:rPr>
        <w:t xml:space="preserve">Any vacancy on our board of directors may be filled by the affirmative vote of a majority of the directors then in office; provided that in case of an increase in the number of directors pursuant to an amendment to our By-Laws made by our stockholders, the stockholders may fill the vacancy or vacancies so created at the meeting at which such amendment is effected or may authorize the board of directors to fill such vacancy or vacancies. Any director elected to fill a vacancy shall hold office until the next annual meeting of stockholders and until such director’s successor shall have been elected and qualified.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Special meetings of the stockholders may be called at any time by the Chairman of our board of directors or our president, or a majority of our board of directors, and upon the written request of stockholders of record holding a majority of our capital stock issued and outstanding and entitled to vote at such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and Certain 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the By-Laws or the Charter, action by the stockholders to adopt a proposed amendment to the Charter, adopt plans of merger or consolidation, sell all or to sell substantially all of our assets, or dissolve the Company may be taken by the affirmative vote of two-thirds of the votes cast by the holders of our outstanding stock entitled to vote thereon and, in addition, if any class or series of stock is entitled to vote thereon as a class, by the affirmative vote of two-thirds of all the votes which the holders of each such class or series are entitled to cast thereon. The By-Laws may be altered, amended or repealed at any regular meeting of the stockholders (or at any special meeting thereof duly called for that purpose) by a majority of votes cast at such meeting. Subject to the laws of the State of New Jersey, the Charter and the By-Laws, the board of directors may amend the By-Laws by a majority vote of the members of the board of directors at the time in office at any regular or special meeting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Officers; Limitation of Liability.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we will, to the full extent permitted by law, indemnify any present, former or future director, officer, or employee (“Corporate Agent”) who is made, or threatened to be made, a party to, or a witness or other participant in, any threatened, pending or completed civil, criminal, administrative, arbitrative, legislative, or investigative action, suit, or proceeding by reason of the fact that such person is or was a Corporate Agent of the Company or any subsidiary thereof, or serves or served another enterprise (including, without limitation, any sole proprietorship, association, corporation, partnership, joint venture or trust), whether or not for profit, at the request of the Company as a director, officer, employee or agent thereof (including service with respect to any employee benefit plan of the Company or any subsidiary thereof), against expenses (including attorneys’ fees), judgments, fines, penalties, excise taxes and amounts paid in settlement, actually and reasonably incurred by such person in connection with such actions, suits or proceedings, or any appeal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to the full extent permitted by law, our directors and officers will not be personally liable to us or our stockholders for damages for breach of any duty owed to us or our stockholders. No amendment or repeal of this limitation of liability provision of the Charter, nor the adoption of another provision inconsistent with such limitation of liability provision, will eliminate, reduce or have any effect on the protection afforded by this limitation of liability provision to our directors or officers in respect of any matter occurring, or any cause of action, suit or claim that but for this provision would accrue or arise, prior to such amendment, repeal or adoption of an inconsistent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capital stock is Computershare Trust Company, N.A. </w:t>
      </w:r>
    </w:p>
    <w:p>
      <w:pPr>
        <w:pStyle w:val="TextBody"/>
        <w:bidi w:val="0"/>
        <w:spacing w:before="480" w:after="0"/>
        <w:jc w:val="center"/>
        <w:rPr>
          <w:rFonts w:ascii="Times New Roman" w:hAnsi="Times New Roman"/>
          <w:b/>
          <w:sz w:val="20"/>
        </w:rPr>
      </w:pPr>
      <w:bookmarkStart w:id="12" w:name="toc137141_10"/>
      <w:bookmarkEnd w:id="12"/>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material terms of our preferred stock. Because this section is a summary, it does not describe every aspect of our preferred stock. For additional information, refer to the applicable provisions of the Act, our Charter and By-Laws. Our Charter and By-Laws are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without further shareholder action, to adopt and to cause to be executed and filed amendments to the Charter to divide the preferred stock into one or more classes or series, to authorize the issuance of such shares for such consideration (not less than par value in the case of shares having a par value) and to determine the designations, relative rights, preferences and limitations of any class or series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on the shares of such class or series and the date or dates from which dividends shall accumulate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times of redemption of the shares of such class or series and the prices which the holders of shares of such class or series shall be entitled to receive upon the redemption thereof, which prices may vary at different redemption dates and may also be different with respect to shares redeemed through the operation of any retirement or sinking fund than with respect to shares otherwise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which the holders of shares of such class or series shall be entitled to receive upon the voluntary or involuntary liquidation, dissolution, or winding up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shares of such class or series shall be subject to the operation of a purchase or sinking fund, and, if so, the extent to and manner in which the fund shall be applied to the purchase or redemption of the shares of such class or series for retirement or for other corporate purposes and the terms and provisions relative to the operation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shares of such class or series shall, at the option of the holder or the Company or both, be convertible into, or exchangeable for shares of stock of any other class or series, and if so convertible or exchangeable, the price or prices or the rate or rates of conversion or exchange and the method, if any, of adjusting the same;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preferences, rights, restrictions and qualifications not inconsistent with the Charter and permitted by the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no shares of preferred stock are outstanding. </w:t>
      </w:r>
    </w:p>
    <w:p>
      <w:pPr>
        <w:pStyle w:val="TextBody"/>
        <w:bidi w:val="0"/>
        <w:spacing w:before="480" w:after="0"/>
        <w:jc w:val="center"/>
        <w:rPr>
          <w:rFonts w:ascii="Times New Roman" w:hAnsi="Times New Roman"/>
          <w:b/>
          <w:sz w:val="20"/>
        </w:rPr>
      </w:pPr>
      <w:bookmarkStart w:id="13" w:name="toc137141_11"/>
      <w:bookmarkEnd w:id="13"/>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purchase contracts, or units issued by us that may be offered pursuant to this prospectus. </w:t>
      </w:r>
    </w:p>
    <w:p>
      <w:pPr>
        <w:pStyle w:val="TextBody"/>
        <w:bidi w:val="0"/>
        <w:spacing w:before="480" w:after="0"/>
        <w:jc w:val="center"/>
        <w:rPr>
          <w:rFonts w:ascii="Times New Roman" w:hAnsi="Times New Roman"/>
          <w:b/>
          <w:sz w:val="20"/>
        </w:rPr>
      </w:pPr>
      <w:bookmarkStart w:id="14" w:name="toc137141_12"/>
      <w:bookmarkEnd w:id="1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described in this prospectus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purchasers 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underwriters for public offering and sale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foregoing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our securities for whom they may act as agent. Underwriters may be involved in any at the market offering of the securities by us or on our behalf.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sell securities to or through dealers, and such dealers may receive compensation in the form of discounts, concessions or commissions from the underwriters and/or commissions (which may be changed from time to time)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240" w:after="0"/>
        <w:jc w:val="left"/>
        <w:rPr>
          <w:rFonts w:ascii="Times New Roman" w:hAnsi="Times New Roman"/>
          <w:sz w:val="20"/>
        </w:rPr>
      </w:pPr>
      <w:r>
        <w:rPr>
          <w:rFonts w:ascii="Times New Roman" w:hAnsi="Times New Roman"/>
          <w:sz w:val="20"/>
        </w:rPr>
        <w:t xml:space="preserve">We will name any agent involved in a sale of our securities, as well as any commissions payable by us to such agent, in the applicable prospectus supplement. Unless otherwise specified in the applicable prospectus supplement, any such agent will be acting on a reasonable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 dealer in the sale of the securities being offered pursuant to this prospectus, we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Underwriters or agents and their affiliates may be customers of, engage in transactions with or perform services for us or our affiliates in the ordinary course of business. </w:t>
      </w:r>
    </w:p>
    <w:p>
      <w:pPr>
        <w:pStyle w:val="TextBody"/>
        <w:bidi w:val="0"/>
        <w:spacing w:before="480" w:after="0"/>
        <w:jc w:val="center"/>
        <w:rPr>
          <w:rFonts w:ascii="Times New Roman" w:hAnsi="Times New Roman"/>
          <w:b/>
          <w:sz w:val="20"/>
        </w:rPr>
      </w:pPr>
      <w:bookmarkStart w:id="15" w:name="toc137141_13"/>
      <w:bookmarkEnd w:id="15"/>
      <w:r>
        <w:rPr>
          <w:rFonts w:ascii="Times New Roman" w:hAnsi="Times New Roman"/>
          <w:b/>
          <w:sz w:val="20"/>
        </w:rPr>
        <w:t xml:space="preserve">LEGAL OPINIONS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disclosed in a prospectus supplement, the validity of the securities offered hereby will be passed upon for us by Marci K. Donnelly, our Vice President and Deputy Corporate Secretary, as to certain matters of New Jersey law, and by Weil, Gotshal &amp; Manges LLP, New York, New York, as to New York law. Ms. Donnelly beneficially owns or has rights to acquire an aggregate of less than 1% of the outstanding shares of our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37141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expenses in connection with the issuance and distribution of the securities being registered hereby, other than underwriting discounts and commissions, are as follows. All of such expenses will be borne by the registrant.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22"/>
        <w:gridCol w:w="519"/>
        <w:gridCol w:w="166"/>
        <w:gridCol w:w="1006"/>
        <w:gridCol w:w="326"/>
      </w:tblGrid>
      <w:tr>
        <w:trPr/>
        <w:tc>
          <w:tcPr>
            <w:tcW w:w="4922"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92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to</w:t>
              <w:br/>
              <w:t>be Paid</w:t>
            </w:r>
          </w:p>
        </w:tc>
        <w:tc>
          <w:tcPr>
            <w:tcW w:w="326" w:type="dxa"/>
            <w:tcBorders/>
            <w:vAlign w:val="bottom"/>
          </w:tcPr>
          <w:p>
            <w:pPr>
              <w:pStyle w:val="TableContents"/>
              <w:bidi w:val="0"/>
              <w:spacing w:before="0" w:after="283"/>
              <w:jc w:val="left"/>
              <w:rPr/>
            </w:pPr>
            <w:r>
              <w:rPr/>
              <w:t> </w:t>
            </w:r>
          </w:p>
        </w:tc>
      </w:tr>
      <w:tr>
        <w:trPr/>
        <w:tc>
          <w:tcPr>
            <w:tcW w:w="4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costs</w:t>
            </w:r>
          </w:p>
        </w:tc>
        <w:tc>
          <w:tcPr>
            <w:tcW w:w="5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Fees and expenses of trustee</w:t>
            </w:r>
          </w:p>
        </w:tc>
        <w:tc>
          <w:tcPr>
            <w:tcW w:w="5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agencies’ fees</w:t>
            </w:r>
          </w:p>
        </w:tc>
        <w:tc>
          <w:tcPr>
            <w:tcW w:w="5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5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492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492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492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because the registration fee is being deferred pursuant to Rule 456(b).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presently known. An estimate of the aggregate amount of these expenses will be reflected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14A:3-5 of the New Jersey Business Corporation Act sets forth the extent to which officers and directors of the registrant may be indemnified against any liabilities which they may incur in their capacity as such. The registrant’s By-Laws provide for the indemnification of directors and officers of the registrant against liabilities arising by reason of being a director or officer of the registrant, including liabilities arising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officers of the registrant and its subsidiaries are insured (subject to certain exceptions and deductions) against liabilities which they may incur in their capacity as such, including liabilities under the Securities Act, under liability insurance policies carried by the registrant.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
        <w:gridCol w:w="419"/>
        <w:gridCol w:w="9060"/>
      </w:tblGrid>
      <w:tr>
        <w:trPr/>
        <w:tc>
          <w:tcPr>
            <w:tcW w:w="726"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9060" w:type="dxa"/>
            <w:tcBorders/>
            <w:vAlign w:val="center"/>
          </w:tcPr>
          <w:p>
            <w:pPr>
              <w:pStyle w:val="TableContents"/>
              <w:bidi w:val="0"/>
              <w:spacing w:before="0" w:after="283"/>
              <w:jc w:val="left"/>
              <w:rPr>
                <w:sz w:val="4"/>
                <w:szCs w:val="4"/>
              </w:rPr>
            </w:pPr>
            <w:r>
              <w:rPr>
                <w:sz w:val="4"/>
                <w:szCs w:val="4"/>
              </w:rPr>
            </w:r>
          </w:p>
        </w:tc>
      </w:tr>
      <w:tr>
        <w:trPr/>
        <w:tc>
          <w:tcPr>
            <w:tcW w:w="726" w:type="dxa"/>
            <w:tcBorders>
              <w:bottom w:val="single" w:sz="8" w:space="0" w:color="000000"/>
            </w:tcBorders>
            <w:tcMar>
              <w:bottom w:w="28" w:type="dxa"/>
            </w:tcMar>
            <w:vAlign w:val="bottom"/>
          </w:tcPr>
          <w:p>
            <w:pPr>
              <w:pStyle w:val="TableContents"/>
              <w:bidi w:val="0"/>
              <w:spacing w:before="0" w:after="283"/>
              <w:jc w:val="left"/>
              <w:rPr/>
            </w:pPr>
            <w:r>
              <w:rPr/>
              <w:t>Exhibit</w:t>
              <w:br/>
              <w:t>No.</w:t>
            </w:r>
          </w:p>
        </w:tc>
        <w:tc>
          <w:tcPr>
            <w:tcW w:w="419" w:type="dxa"/>
            <w:tcBorders/>
            <w:vAlign w:val="bottom"/>
          </w:tcPr>
          <w:p>
            <w:pPr>
              <w:pStyle w:val="TableContents"/>
              <w:bidi w:val="0"/>
              <w:spacing w:before="0" w:after="283"/>
              <w:jc w:val="left"/>
              <w:rPr/>
            </w:pPr>
            <w:r>
              <w:rPr/>
              <w:t>  </w:t>
            </w:r>
          </w:p>
        </w:tc>
        <w:tc>
          <w:tcPr>
            <w:tcW w:w="90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283"/>
              <w:jc w:val="left"/>
              <w:rPr/>
            </w:pPr>
            <w:r>
              <w:rPr/>
              <w:t>  </w:t>
            </w:r>
            <w:r>
              <w:rPr/>
              <w:t>1*</w:t>
            </w:r>
          </w:p>
        </w:tc>
        <w:tc>
          <w:tcPr>
            <w:tcW w:w="419"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r>
              <w:rPr/>
              <w:t>Form of Underwriting Agreement</w:t>
            </w:r>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283"/>
              <w:jc w:val="left"/>
              <w:rPr/>
            </w:pPr>
            <w:r>
              <w:rPr/>
              <w:t>  </w:t>
            </w:r>
            <w:r>
              <w:rPr/>
              <w:t>3.1</w:t>
            </w:r>
          </w:p>
        </w:tc>
        <w:tc>
          <w:tcPr>
            <w:tcW w:w="419"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hyperlink r:id="rId17">
              <w:r>
                <w:rPr>
                  <w:rStyle w:val="InternetLink"/>
                </w:rPr>
                <w:t>Restated Certificate of Incorporation, as amended through November  19, 2024, is incorporated by reference to Exhibit 3.1 to Campbell’s Form 10-Q (SEC file number 1-3822) for the fiscal quarter ended October 27, 2024.</w:t>
              </w:r>
            </w:hyperlink>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283"/>
              <w:jc w:val="left"/>
              <w:rPr/>
            </w:pPr>
            <w:r>
              <w:rPr/>
              <w:t>  </w:t>
            </w:r>
            <w:r>
              <w:rPr/>
              <w:t>3.2</w:t>
            </w:r>
          </w:p>
        </w:tc>
        <w:tc>
          <w:tcPr>
            <w:tcW w:w="419"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hyperlink r:id="rId18">
              <w:r>
                <w:rPr>
                  <w:rStyle w:val="InternetLink"/>
                </w:rPr>
                <w:t xml:space="preserve">By-Laws of The Campbell’s Company, amended and restated effective November  19, 2024, are incorporated by reference to Exhibit 3.2 to Campbell’s Form 8-K (SEC file number 1-3822) filed with the SEC on November 20, 2024. </w:t>
              </w:r>
            </w:hyperlink>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283"/>
              <w:jc w:val="left"/>
              <w:rPr/>
            </w:pPr>
            <w:r>
              <w:rPr/>
              <w:t>  </w:t>
            </w:r>
            <w:r>
              <w:rPr/>
              <w:t>4.1</w:t>
            </w:r>
          </w:p>
        </w:tc>
        <w:tc>
          <w:tcPr>
            <w:tcW w:w="419"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hyperlink r:id="rId19">
              <w:r>
                <w:rPr>
                  <w:rStyle w:val="InternetLink"/>
                </w:rPr>
                <w:t xml:space="preserve">Indenture dated as of March  19, 2015, between the registrant and Wells Fargo Bank, National Association, as trustee, is incorporated by reference to Exhibit 4.1 to the registrant’s Form 8-K (SEC file number 1-3822) filed with the SEC on March 19, 2015.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85"/>
        <w:gridCol w:w="314"/>
        <w:gridCol w:w="9206"/>
      </w:tblGrid>
      <w:tr>
        <w:trPr/>
        <w:tc>
          <w:tcPr>
            <w:tcW w:w="68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9206"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42.htm">
              <w:r>
                <w:rPr>
                  <w:rStyle w:val="InternetLink"/>
                </w:rPr>
                <w:t xml:space="preserve">Form of Subordinated Indenture between the registrant and U.S. Bank Trust Company, National Association, as trustee.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4.3</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r:id="rId20">
              <w:r>
                <w:rPr>
                  <w:rStyle w:val="InternetLink"/>
                </w:rPr>
                <w:t xml:space="preserve">First Supplemental Indenture, dated as of August  17, 2023, between the registrant, Computershare Trust Company, N.A. (as successor in interest to Wells Fargo Bank, National Association), as retiring trustee, and U.S. Bank Trust Company, National Association, as successor trustee, is incorporated by reference to Exhibit 4.3 to Campbell’s Registration Statement on Form S-3 (SEC file number 333-274048) filed with the SEC on August 17, 2023.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4.4*</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Senior Debt Security.</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4.5*</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Subordinated Debt Security.</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4.6*</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Warrant Agreement (including form of warrant).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4.7*</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Purchase Contract Agreement.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4.8*</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Unit Agreement.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5.1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51.htm">
              <w:r>
                <w:rPr>
                  <w:rStyle w:val="InternetLink"/>
                </w:rPr>
                <w:t xml:space="preserve">Opinion and consent of Marci K. Donnelly, Vice President and Deputy Corporate Secretary of the registrant.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5.2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52.htm">
              <w:r>
                <w:rPr>
                  <w:rStyle w:val="InternetLink"/>
                </w:rPr>
                <w:t xml:space="preserve">Opinion and consent of Weil, Gotshal &amp; Manges LLP.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23.1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231.htm">
              <w:r>
                <w:rPr>
                  <w:rStyle w:val="InternetLink"/>
                </w:rPr>
                <w:t xml:space="preserve">Consent of PricewaterhouseCoopers LLP.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23.2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51.htm">
              <w:r>
                <w:rPr>
                  <w:rStyle w:val="InternetLink"/>
                </w:rPr>
                <w:t xml:space="preserve">Consent of Marci K. Donnelly, included in Exhibit 5.1.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23.3</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52.htm">
              <w:r>
                <w:rPr>
                  <w:rStyle w:val="InternetLink"/>
                </w:rPr>
                <w:t xml:space="preserve">Consent of Weil, Gotshal &amp; Manges LLP, included in Exhibit 5.2.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24</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sig">
              <w:r>
                <w:rPr>
                  <w:rStyle w:val="InternetLink"/>
                </w:rPr>
                <w:t xml:space="preserve">Power of Attorney, included on the signature page.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25.1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251.htm">
              <w:r>
                <w:rPr>
                  <w:rStyle w:val="InternetLink"/>
                </w:rPr>
                <w:t xml:space="preserve">T-1 Statement of Eligibility of U.S. Bank Trust Company, National Association, to act as successor trustee under the Senior Indenture.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25.2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252.htm">
              <w:r>
                <w:rPr>
                  <w:rStyle w:val="InternetLink"/>
                </w:rPr>
                <w:t xml:space="preserve">T-1 Statement of Eligibility of U.S. Bank Trust Company, National Association, to act as trustee under the Subordinated Indenture.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107</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137141dexfilingfees.htm">
              <w:r>
                <w:rPr>
                  <w:rStyle w:val="InternetLink"/>
                </w:rPr>
                <w:t xml:space="preserve">Calculation of Filing Fee Tables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an amendment or as an exhibit to a document filed under the Exchange Act and incorporated by reference herein.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of securities registered hereby,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jc w:val="left"/>
              <w:rPr/>
            </w:pPr>
            <w:r>
              <w:rPr/>
              <w:t> </w:t>
            </w:r>
          </w:p>
        </w:tc>
        <w:tc>
          <w:tcPr>
            <w:tcW w:w="8373" w:type="dxa"/>
            <w:tcBorders/>
          </w:tcPr>
          <w:p>
            <w:pPr>
              <w:pStyle w:val="TableContents"/>
              <w:bidi w:val="0"/>
              <w:spacing w:before="0" w:after="283"/>
              <w:jc w:val="left"/>
              <w:rPr/>
            </w:pPr>
            <w:r>
              <w:rPr/>
              <w:t xml:space="preserve">aggregate offering price set forth in the “Calculation of Filing Fee Tables” or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(i), (ii) and (iii) above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file an application for the purpose of determining the eligibility of the trustee to act under subsection (a) of Section 310 of the Trust Indenture Act (the “Act”) in accordance with the rules and regulations prescribed by the Commission under Section 305(b)(2) of the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Camden, State of New Jersey, on August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CAMPBELL’S COMPANY</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Todd E. Cunfer</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Todd E. Cunfer</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and Chief  Financial Officer (Principal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Charles A. Brawley, III and Marci K. Donnelly, and each of them (with full power and authority to act without the other), as their true and lawful attorney-in-fact and agents, with full power of substitution and resubstitution, for each of them and in each of their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each of them might or could do in person, hereby ratifying and confirming all that each of said attorney-in-fact and agent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16"/>
        <w:gridCol w:w="120"/>
        <w:gridCol w:w="3910"/>
        <w:gridCol w:w="202"/>
        <w:gridCol w:w="2057"/>
      </w:tblGrid>
      <w:tr>
        <w:trPr/>
        <w:tc>
          <w:tcPr>
            <w:tcW w:w="39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9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20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916"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39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Mick J. Beekhuizen</w:t>
            </w:r>
          </w:p>
          <w:p>
            <w:pPr>
              <w:pStyle w:val="TableContents"/>
              <w:bidi w:val="0"/>
              <w:spacing w:before="0" w:after="20"/>
              <w:jc w:val="center"/>
              <w:rPr>
                <w:rFonts w:ascii="Times New Roman" w:hAnsi="Times New Roman"/>
                <w:sz w:val="20"/>
              </w:rPr>
            </w:pPr>
            <w:r>
              <w:rPr>
                <w:rFonts w:ascii="Times New Roman" w:hAnsi="Times New Roman"/>
                <w:sz w:val="20"/>
              </w:rPr>
              <w:t>Mick J. Beekhuizen</w:t>
            </w:r>
          </w:p>
        </w:tc>
        <w:tc>
          <w:tcPr>
            <w:tcW w:w="120"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President, Chief Executive Officer and a Director (Principal Executive Officer)</w:t>
            </w:r>
          </w:p>
        </w:tc>
        <w:tc>
          <w:tcPr>
            <w:tcW w:w="202"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pPr>
            <w:r>
              <w:rPr/>
              <w:t>August 13, 2026</w:t>
            </w:r>
          </w:p>
        </w:tc>
      </w:tr>
      <w:tr>
        <w:trPr>
          <w:trHeight w:val="240" w:hRule="atLeast"/>
        </w:trPr>
        <w:tc>
          <w:tcPr>
            <w:tcW w:w="3916"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39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Fabiola R. Arredondo</w:t>
            </w:r>
          </w:p>
          <w:p>
            <w:pPr>
              <w:pStyle w:val="TableContents"/>
              <w:bidi w:val="0"/>
              <w:spacing w:before="0" w:after="20"/>
              <w:jc w:val="center"/>
              <w:rPr>
                <w:rFonts w:ascii="Times New Roman" w:hAnsi="Times New Roman"/>
                <w:sz w:val="20"/>
              </w:rPr>
            </w:pPr>
            <w:r>
              <w:rPr>
                <w:rFonts w:ascii="Times New Roman" w:hAnsi="Times New Roman"/>
                <w:sz w:val="20"/>
              </w:rPr>
              <w:t>Fabiola R. Arredondo</w:t>
            </w:r>
          </w:p>
        </w:tc>
        <w:tc>
          <w:tcPr>
            <w:tcW w:w="120"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pPr>
            <w:r>
              <w:rPr/>
              <w:t>August 13, 2026</w:t>
            </w:r>
          </w:p>
        </w:tc>
      </w:tr>
      <w:tr>
        <w:trPr>
          <w:trHeight w:val="240" w:hRule="atLeast"/>
        </w:trPr>
        <w:tc>
          <w:tcPr>
            <w:tcW w:w="3916"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39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Howard M. Averill</w:t>
            </w:r>
          </w:p>
          <w:p>
            <w:pPr>
              <w:pStyle w:val="TableContents"/>
              <w:bidi w:val="0"/>
              <w:spacing w:before="0" w:after="20"/>
              <w:jc w:val="center"/>
              <w:rPr>
                <w:rFonts w:ascii="Times New Roman" w:hAnsi="Times New Roman"/>
                <w:sz w:val="20"/>
              </w:rPr>
            </w:pPr>
            <w:r>
              <w:rPr>
                <w:rFonts w:ascii="Times New Roman" w:hAnsi="Times New Roman"/>
                <w:sz w:val="20"/>
              </w:rPr>
              <w:t>Howard M. Averill</w:t>
            </w:r>
          </w:p>
        </w:tc>
        <w:tc>
          <w:tcPr>
            <w:tcW w:w="120"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pPr>
            <w:r>
              <w:rPr/>
              <w:t>August 13, 2026</w:t>
            </w:r>
          </w:p>
        </w:tc>
      </w:tr>
      <w:tr>
        <w:trPr>
          <w:trHeight w:val="240" w:hRule="atLeast"/>
        </w:trPr>
        <w:tc>
          <w:tcPr>
            <w:tcW w:w="3916"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39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Bennett Dorrance, Jr.</w:t>
            </w:r>
          </w:p>
          <w:p>
            <w:pPr>
              <w:pStyle w:val="TableContents"/>
              <w:bidi w:val="0"/>
              <w:spacing w:before="0" w:after="20"/>
              <w:jc w:val="center"/>
              <w:rPr>
                <w:rFonts w:ascii="Times New Roman" w:hAnsi="Times New Roman"/>
                <w:sz w:val="20"/>
              </w:rPr>
            </w:pPr>
            <w:r>
              <w:rPr>
                <w:rFonts w:ascii="Times New Roman" w:hAnsi="Times New Roman"/>
                <w:sz w:val="20"/>
              </w:rPr>
              <w:t>Bennett Dorrance, Jr.</w:t>
            </w:r>
          </w:p>
        </w:tc>
        <w:tc>
          <w:tcPr>
            <w:tcW w:w="120"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pPr>
            <w:r>
              <w:rPr/>
              <w:t>August 13, 2026</w:t>
            </w:r>
          </w:p>
        </w:tc>
      </w:tr>
      <w:tr>
        <w:trPr>
          <w:trHeight w:val="240" w:hRule="atLeast"/>
        </w:trPr>
        <w:tc>
          <w:tcPr>
            <w:tcW w:w="3916"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39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Maria Teresa Hilado</w:t>
            </w:r>
          </w:p>
          <w:p>
            <w:pPr>
              <w:pStyle w:val="TableContents"/>
              <w:bidi w:val="0"/>
              <w:spacing w:before="0" w:after="20"/>
              <w:jc w:val="center"/>
              <w:rPr>
                <w:rFonts w:ascii="Times New Roman" w:hAnsi="Times New Roman"/>
                <w:sz w:val="20"/>
              </w:rPr>
            </w:pPr>
            <w:r>
              <w:rPr>
                <w:rFonts w:ascii="Times New Roman" w:hAnsi="Times New Roman"/>
                <w:sz w:val="20"/>
              </w:rPr>
              <w:t>Maria Teresa Hilado</w:t>
            </w:r>
          </w:p>
        </w:tc>
        <w:tc>
          <w:tcPr>
            <w:tcW w:w="120"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pPr>
            <w:r>
              <w:rPr/>
              <w:t>August 13, 2026</w:t>
            </w:r>
          </w:p>
        </w:tc>
      </w:tr>
      <w:tr>
        <w:trPr>
          <w:trHeight w:val="240" w:hRule="atLeast"/>
        </w:trPr>
        <w:tc>
          <w:tcPr>
            <w:tcW w:w="3916"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391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Grant H. Hill</w:t>
            </w:r>
          </w:p>
          <w:p>
            <w:pPr>
              <w:pStyle w:val="TableContents"/>
              <w:bidi w:val="0"/>
              <w:spacing w:before="0" w:after="20"/>
              <w:jc w:val="center"/>
              <w:rPr>
                <w:rFonts w:ascii="Times New Roman" w:hAnsi="Times New Roman"/>
                <w:sz w:val="20"/>
              </w:rPr>
            </w:pPr>
            <w:r>
              <w:rPr>
                <w:rFonts w:ascii="Times New Roman" w:hAnsi="Times New Roman"/>
                <w:sz w:val="20"/>
              </w:rPr>
              <w:t>Grant H. Hill</w:t>
            </w:r>
          </w:p>
        </w:tc>
        <w:tc>
          <w:tcPr>
            <w:tcW w:w="120" w:type="dxa"/>
            <w:tcBorders/>
            <w:vAlign w:val="bottom"/>
          </w:tcPr>
          <w:p>
            <w:pPr>
              <w:pStyle w:val="TableContents"/>
              <w:bidi w:val="0"/>
              <w:spacing w:before="0" w:after="283"/>
              <w:jc w:val="left"/>
              <w:rPr/>
            </w:pPr>
            <w:r>
              <w:rPr/>
              <w:t>  </w:t>
            </w:r>
          </w:p>
        </w:tc>
        <w:tc>
          <w:tcPr>
            <w:tcW w:w="3910"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pPr>
            <w:r>
              <w:rPr/>
              <w:t>August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909"/>
        <w:gridCol w:w="120"/>
        <w:gridCol w:w="3926"/>
        <w:gridCol w:w="201"/>
        <w:gridCol w:w="2049"/>
      </w:tblGrid>
      <w:tr>
        <w:trPr/>
        <w:tc>
          <w:tcPr>
            <w:tcW w:w="39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Sarah Hofstetter</w:t>
            </w:r>
          </w:p>
          <w:p>
            <w:pPr>
              <w:pStyle w:val="TableContents"/>
              <w:bidi w:val="0"/>
              <w:spacing w:before="0" w:after="20"/>
              <w:jc w:val="center"/>
              <w:rPr>
                <w:rFonts w:ascii="Times New Roman" w:hAnsi="Times New Roman"/>
                <w:sz w:val="20"/>
              </w:rPr>
            </w:pPr>
            <w:r>
              <w:rPr>
                <w:rFonts w:ascii="Times New Roman" w:hAnsi="Times New Roman"/>
                <w:sz w:val="20"/>
              </w:rPr>
              <w:t>Sarah Hofstetter</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Marc B. Lautenbach</w:t>
            </w:r>
          </w:p>
          <w:p>
            <w:pPr>
              <w:pStyle w:val="TableContents"/>
              <w:bidi w:val="0"/>
              <w:spacing w:before="0" w:after="20"/>
              <w:jc w:val="center"/>
              <w:rPr>
                <w:rFonts w:ascii="Times New Roman" w:hAnsi="Times New Roman"/>
                <w:sz w:val="20"/>
              </w:rPr>
            </w:pPr>
            <w:r>
              <w:rPr>
                <w:rFonts w:ascii="Times New Roman" w:hAnsi="Times New Roman"/>
                <w:sz w:val="20"/>
              </w:rPr>
              <w:t>Marc B. Lautenbach</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Mary Alice D. Malone, Jr.</w:t>
            </w:r>
          </w:p>
          <w:p>
            <w:pPr>
              <w:pStyle w:val="TableContents"/>
              <w:bidi w:val="0"/>
              <w:spacing w:before="0" w:after="20"/>
              <w:jc w:val="center"/>
              <w:rPr>
                <w:rFonts w:ascii="Times New Roman" w:hAnsi="Times New Roman"/>
                <w:sz w:val="20"/>
              </w:rPr>
            </w:pPr>
            <w:r>
              <w:rPr>
                <w:rFonts w:ascii="Times New Roman" w:hAnsi="Times New Roman"/>
                <w:sz w:val="20"/>
              </w:rPr>
              <w:t>Mary Alice D. Malone, Jr.</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Keith R. McLoughlin</w:t>
            </w:r>
          </w:p>
          <w:p>
            <w:pPr>
              <w:pStyle w:val="TableContents"/>
              <w:bidi w:val="0"/>
              <w:spacing w:before="0" w:after="20"/>
              <w:jc w:val="center"/>
              <w:rPr>
                <w:rFonts w:ascii="Times New Roman" w:hAnsi="Times New Roman"/>
                <w:sz w:val="20"/>
              </w:rPr>
            </w:pPr>
            <w:r>
              <w:rPr>
                <w:rFonts w:ascii="Times New Roman" w:hAnsi="Times New Roman"/>
                <w:sz w:val="20"/>
              </w:rPr>
              <w:t>Keith R. McLoughlin</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Chair and Director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Kurt T. Schmidt</w:t>
            </w:r>
          </w:p>
          <w:p>
            <w:pPr>
              <w:pStyle w:val="TableContents"/>
              <w:bidi w:val="0"/>
              <w:spacing w:before="0" w:after="20"/>
              <w:jc w:val="center"/>
              <w:rPr>
                <w:rFonts w:ascii="Times New Roman" w:hAnsi="Times New Roman"/>
                <w:sz w:val="20"/>
              </w:rPr>
            </w:pPr>
            <w:r>
              <w:rPr>
                <w:rFonts w:ascii="Times New Roman" w:hAnsi="Times New Roman"/>
                <w:sz w:val="20"/>
              </w:rPr>
              <w:t>Kurt T. Schmidt</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Archbold D. van Beuren</w:t>
            </w:r>
          </w:p>
          <w:p>
            <w:pPr>
              <w:pStyle w:val="TableContents"/>
              <w:bidi w:val="0"/>
              <w:spacing w:before="0" w:after="20"/>
              <w:jc w:val="center"/>
              <w:rPr>
                <w:rFonts w:ascii="Times New Roman" w:hAnsi="Times New Roman"/>
                <w:sz w:val="20"/>
              </w:rPr>
            </w:pPr>
            <w:r>
              <w:rPr>
                <w:rFonts w:ascii="Times New Roman" w:hAnsi="Times New Roman"/>
                <w:sz w:val="20"/>
              </w:rPr>
              <w:t>Archbold D. van Beuren</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Todd E. Cunfer</w:t>
            </w:r>
          </w:p>
          <w:p>
            <w:pPr>
              <w:pStyle w:val="TableContents"/>
              <w:bidi w:val="0"/>
              <w:spacing w:before="0" w:after="20"/>
              <w:jc w:val="center"/>
              <w:rPr>
                <w:rFonts w:ascii="Times New Roman" w:hAnsi="Times New Roman"/>
                <w:sz w:val="20"/>
              </w:rPr>
            </w:pPr>
            <w:r>
              <w:rPr>
                <w:rFonts w:ascii="Times New Roman" w:hAnsi="Times New Roman"/>
                <w:sz w:val="20"/>
              </w:rPr>
              <w:t>Todd E. Cunfer</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Executive Vice President and Chief Financial Officer (Principal Financial Officer)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r>
        <w:trPr>
          <w:trHeight w:val="240" w:hRule="atLeast"/>
        </w:trPr>
        <w:tc>
          <w:tcPr>
            <w:tcW w:w="3909"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390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Kelly L. Palumbo</w:t>
            </w:r>
          </w:p>
          <w:p>
            <w:pPr>
              <w:pStyle w:val="TableContents"/>
              <w:bidi w:val="0"/>
              <w:spacing w:before="0" w:after="20"/>
              <w:jc w:val="center"/>
              <w:rPr>
                <w:rFonts w:ascii="Times New Roman" w:hAnsi="Times New Roman"/>
                <w:sz w:val="20"/>
              </w:rPr>
            </w:pPr>
            <w:r>
              <w:rPr>
                <w:rFonts w:ascii="Times New Roman" w:hAnsi="Times New Roman"/>
                <w:sz w:val="20"/>
              </w:rPr>
              <w:t>Kelly L. Palumbo</w:t>
            </w:r>
          </w:p>
        </w:tc>
        <w:tc>
          <w:tcPr>
            <w:tcW w:w="120" w:type="dxa"/>
            <w:tcBorders/>
            <w:vAlign w:val="bottom"/>
          </w:tcPr>
          <w:p>
            <w:pPr>
              <w:pStyle w:val="TableContents"/>
              <w:bidi w:val="0"/>
              <w:spacing w:before="0" w:after="283"/>
              <w:jc w:val="left"/>
              <w:rPr/>
            </w:pPr>
            <w:r>
              <w:rPr/>
              <w:t>  </w:t>
            </w:r>
          </w:p>
        </w:tc>
        <w:tc>
          <w:tcPr>
            <w:tcW w:w="3926" w:type="dxa"/>
            <w:tcBorders/>
          </w:tcPr>
          <w:p>
            <w:pPr>
              <w:pStyle w:val="TableContents"/>
              <w:bidi w:val="0"/>
              <w:spacing w:before="0" w:after="283"/>
              <w:jc w:val="center"/>
              <w:rPr/>
            </w:pPr>
            <w:r>
              <w:rPr/>
              <w:t>Senior Vice President, Controller and Chief Accounting Officer (Principal Accounting Officer)</w:t>
            </w:r>
          </w:p>
        </w:tc>
        <w:tc>
          <w:tcPr>
            <w:tcW w:w="201"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center"/>
              <w:rPr/>
            </w:pPr>
            <w:r>
              <w:rPr/>
              <w:t>August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8" w:name="d137141dex42.htm"/>
      <w:bookmarkStart w:id="19" w:name="ksd137141dex42"/>
      <w:bookmarkEnd w:id="18"/>
      <w:bookmarkEnd w:id="19"/>
      <w:r>
        <w:rPr>
          <w:rFonts w:ascii="Times New Roman" w:hAnsi="Times New Roman"/>
          <w:b/>
          <w:sz w:val="20"/>
        </w:rPr>
        <w:t xml:space="preserve">Exhibit 4.2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FORM OF SUBORDINATED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THE CAMPBELL’S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25"/>
        <w:gridCol w:w="7457"/>
        <w:gridCol w:w="175"/>
        <w:gridCol w:w="102"/>
        <w:gridCol w:w="446"/>
        <w:gridCol w:w="64"/>
      </w:tblGrid>
      <w:tr>
        <w:trPr/>
        <w:tc>
          <w:tcPr>
            <w:tcW w:w="183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45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D</w:t>
            </w:r>
            <w:r>
              <w:rPr>
                <w:sz w:val="20"/>
              </w:rPr>
              <w:t>EFINITIONS</w:t>
            </w:r>
            <w:r>
              <w:rPr/>
              <w:t xml:space="preserve"> </w:t>
            </w:r>
            <w:r>
              <w:rPr>
                <w:sz w:val="20"/>
              </w:rPr>
              <w:t>AND</w:t>
            </w:r>
            <w:r>
              <w:rPr/>
              <w:t xml:space="preserve"> O</w:t>
            </w:r>
            <w:r>
              <w:rPr>
                <w:sz w:val="20"/>
              </w:rPr>
              <w:t>THER</w:t>
            </w:r>
            <w:r>
              <w:rPr/>
              <w:t xml:space="preserve"> P</w:t>
            </w:r>
            <w:r>
              <w:rPr>
                <w:sz w:val="20"/>
              </w:rPr>
              <w:t>ROVISIONS</w:t>
            </w:r>
            <w:r>
              <w:rPr/>
              <w:t xml:space="preserve"> </w:t>
            </w:r>
            <w:r>
              <w:rPr>
                <w:sz w:val="20"/>
              </w:rPr>
              <w:t>OF</w:t>
            </w:r>
            <w:r>
              <w:rPr/>
              <w:t xml:space="preserve"> G</w:t>
            </w:r>
            <w:r>
              <w:rPr>
                <w:sz w:val="20"/>
              </w:rPr>
              <w:t>ENERAL</w:t>
            </w:r>
            <w:r>
              <w:rPr/>
              <w:t xml:space="preserve"> A</w:t>
            </w:r>
            <w:r>
              <w:rPr>
                <w:sz w:val="20"/>
              </w:rPr>
              <w:t>PPLICATION</w:t>
            </w:r>
          </w:p>
        </w:tc>
        <w:tc>
          <w:tcPr>
            <w:tcW w:w="64" w:type="dxa"/>
            <w:tcBorders/>
          </w:tcPr>
          <w:p>
            <w:pPr>
              <w:pStyle w:val="TableContents"/>
              <w:bidi w:val="0"/>
              <w:spacing w:before="0" w:after="0"/>
              <w:jc w:val="left"/>
              <w:rPr/>
            </w:pPr>
            <w:r>
              <w:rPr/>
              <w:t xml:space="preserve">  </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7582"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Section 1.01.</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Definitions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1.02.</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Compliance Certificates and Opinions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1.03.</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Form of Documents Delivered to Trustee</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1.04.</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Acts of Holders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1.05.</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Notices, Etc., to Trustee and Company</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1.06.</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Notice to Holders; Waiver</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1.07.</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Language of Notices, Etc.</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1.08.</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Conflict with Trust Indenture Act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1.09.</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Effect of Headings and Table of Contents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1.10.</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Successors and Assigns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1.11.</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Separability Clause</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1.12.</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Benefits of Indenture</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1.13.</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Governing Law</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1.14.</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Legal Holidays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1.15.</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Immunity of Incorporators, Shareholders, Officers, Directors and Employees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2</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S</w:t>
            </w:r>
            <w:r>
              <w:rPr>
                <w:sz w:val="20"/>
              </w:rPr>
              <w:t>ECURITY</w:t>
            </w:r>
            <w:r>
              <w:rPr/>
              <w:t xml:space="preserve"> F</w:t>
            </w:r>
            <w:r>
              <w:rPr>
                <w:sz w:val="20"/>
              </w:rPr>
              <w:t>ORMS</w:t>
            </w:r>
          </w:p>
        </w:tc>
        <w:tc>
          <w:tcPr>
            <w:tcW w:w="64" w:type="dxa"/>
            <w:tcBorders/>
          </w:tcPr>
          <w:p>
            <w:pPr>
              <w:pStyle w:val="TableContents"/>
              <w:bidi w:val="0"/>
              <w:spacing w:before="0" w:after="0"/>
              <w:jc w:val="left"/>
              <w:rPr/>
            </w:pPr>
            <w:r>
              <w:rPr/>
              <w:t> </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7582"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Section 2.01.</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Forms Generally</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2.02.</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Form of Trustee’s Certificate of Authentication</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2.03.</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Securities in Global Form</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2.04.</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Form of Legend for Book-Entry Securities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3</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T</w:t>
            </w:r>
            <w:r>
              <w:rPr>
                <w:sz w:val="20"/>
              </w:rPr>
              <w:t>HE</w:t>
            </w:r>
            <w:r>
              <w:rPr/>
              <w:t xml:space="preserve"> S</w:t>
            </w:r>
            <w:r>
              <w:rPr>
                <w:sz w:val="20"/>
              </w:rPr>
              <w:t>ECURITIES</w:t>
            </w:r>
          </w:p>
        </w:tc>
        <w:tc>
          <w:tcPr>
            <w:tcW w:w="64" w:type="dxa"/>
            <w:tcBorders/>
          </w:tcPr>
          <w:p>
            <w:pPr>
              <w:pStyle w:val="TableContents"/>
              <w:bidi w:val="0"/>
              <w:spacing w:before="0" w:after="0"/>
              <w:jc w:val="left"/>
              <w:rPr/>
            </w:pPr>
            <w:r>
              <w:rPr/>
              <w:t> </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7582" w:type="dxa"/>
            <w:gridSpan w:val="2"/>
            <w:tcBorders/>
            <w:vAlign w:val="center"/>
          </w:tcPr>
          <w:p>
            <w:pPr>
              <w:pStyle w:val="TableContents"/>
              <w:bidi w:val="0"/>
              <w:spacing w:before="0" w:after="283"/>
              <w:jc w:val="left"/>
              <w:rPr>
                <w:sz w:val="4"/>
                <w:szCs w:val="4"/>
              </w:rPr>
            </w:pPr>
            <w:r>
              <w:rPr>
                <w:sz w:val="4"/>
                <w:szCs w:val="4"/>
              </w:rPr>
            </w:r>
          </w:p>
        </w:tc>
        <w:tc>
          <w:tcPr>
            <w:tcW w:w="787" w:type="dxa"/>
            <w:gridSpan w:val="4"/>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Section 3.01.</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Amount Unlimited; Issuable in Series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3.02.</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Denominations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3.03.</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Execution, Authentication, Delivery and Dating</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3.04.</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Temporary Securities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3.05.</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Registration, Registration of Transfer and Exchange</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3.06.</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Mutilated, Destroyed, Lost and Stolen Securities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3.07.</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Payment of Interest; Interest Rights Preserved</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3.08.</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Persons Deemed Owners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3.09.</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Cancellation</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3.10.</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Computation of Interest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3.11.</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Electronic Security Issuance</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836" w:type="dxa"/>
            <w:tcBorders/>
          </w:tcPr>
          <w:p>
            <w:pPr>
              <w:pStyle w:val="TableContents"/>
              <w:bidi w:val="0"/>
              <w:spacing w:before="0" w:after="283"/>
              <w:jc w:val="left"/>
              <w:rPr/>
            </w:pPr>
            <w:r>
              <w:rPr/>
              <w:t>Section 3.12.</w:t>
            </w:r>
          </w:p>
        </w:tc>
        <w:tc>
          <w:tcPr>
            <w:tcW w:w="125" w:type="dxa"/>
            <w:tcBorders/>
            <w:vAlign w:val="bottom"/>
          </w:tcPr>
          <w:p>
            <w:pPr>
              <w:pStyle w:val="TableContents"/>
              <w:bidi w:val="0"/>
              <w:spacing w:before="0" w:after="283"/>
              <w:jc w:val="left"/>
              <w:rPr/>
            </w:pPr>
            <w:r>
              <w:rPr/>
              <w:t> </w:t>
            </w:r>
          </w:p>
        </w:tc>
        <w:tc>
          <w:tcPr>
            <w:tcW w:w="7457" w:type="dxa"/>
            <w:tcBorders/>
          </w:tcPr>
          <w:p>
            <w:pPr>
              <w:pStyle w:val="TableContents"/>
              <w:bidi w:val="0"/>
              <w:spacing w:before="0" w:after="0"/>
              <w:jc w:val="left"/>
              <w:rPr>
                <w:rFonts w:ascii="Times New Roman" w:hAnsi="Times New Roman"/>
                <w:i/>
                <w:sz w:val="20"/>
              </w:rPr>
            </w:pPr>
            <w:r>
              <w:rPr>
                <w:rFonts w:ascii="Times New Roman" w:hAnsi="Times New Roman"/>
                <w:i/>
                <w:sz w:val="20"/>
              </w:rPr>
              <w:t>CUSIP Numbers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22"/>
        <w:gridCol w:w="122"/>
        <w:gridCol w:w="7813"/>
        <w:gridCol w:w="163"/>
        <w:gridCol w:w="60"/>
        <w:gridCol w:w="261"/>
        <w:gridCol w:w="64"/>
      </w:tblGrid>
      <w:tr>
        <w:trPr/>
        <w:tc>
          <w:tcPr>
            <w:tcW w:w="172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1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4</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S</w:t>
            </w:r>
            <w:r>
              <w:rPr>
                <w:sz w:val="20"/>
              </w:rPr>
              <w:t>ATISFACTION</w:t>
            </w:r>
            <w:r>
              <w:rPr/>
              <w:t xml:space="preserve"> </w:t>
            </w:r>
            <w:r>
              <w:rPr>
                <w:sz w:val="20"/>
              </w:rPr>
              <w:t>AND</w:t>
            </w:r>
            <w:r>
              <w:rPr/>
              <w:t xml:space="preserve"> D</w:t>
            </w:r>
            <w:r>
              <w:rPr>
                <w:sz w:val="20"/>
              </w:rPr>
              <w:t>ISCHARGE</w:t>
            </w:r>
          </w:p>
        </w:tc>
        <w:tc>
          <w:tcPr>
            <w:tcW w:w="64" w:type="dxa"/>
            <w:tcBorders/>
          </w:tcPr>
          <w:p>
            <w:pPr>
              <w:pStyle w:val="TableContents"/>
              <w:bidi w:val="0"/>
              <w:spacing w:before="0" w:after="0"/>
              <w:jc w:val="left"/>
              <w:rPr/>
            </w:pPr>
            <w:r>
              <w:rPr/>
              <w:t> </w:t>
            </w:r>
          </w:p>
        </w:tc>
      </w:tr>
      <w:tr>
        <w:trPr>
          <w:trHeight w:val="120" w:hRule="atLeast"/>
        </w:trPr>
        <w:tc>
          <w:tcPr>
            <w:tcW w:w="1722"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722" w:type="dxa"/>
            <w:tcBorders/>
          </w:tcPr>
          <w:p>
            <w:pPr>
              <w:pStyle w:val="TableContents"/>
              <w:bidi w:val="0"/>
              <w:spacing w:before="0" w:after="283"/>
              <w:jc w:val="left"/>
              <w:rPr/>
            </w:pPr>
            <w:r>
              <w:rPr/>
              <w:t>Section 4.01.</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Satisfaction and Discharge of Indenture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4.02.</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Application of Trust Money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4.03.</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Discharge and Defeasance of Securities of any Series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5</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R</w:t>
            </w:r>
            <w:r>
              <w:rPr>
                <w:sz w:val="20"/>
              </w:rPr>
              <w:t>EMEDIES</w:t>
            </w:r>
          </w:p>
        </w:tc>
        <w:tc>
          <w:tcPr>
            <w:tcW w:w="64" w:type="dxa"/>
            <w:tcBorders/>
          </w:tcPr>
          <w:p>
            <w:pPr>
              <w:pStyle w:val="TableContents"/>
              <w:bidi w:val="0"/>
              <w:spacing w:before="0" w:after="0"/>
              <w:jc w:val="left"/>
              <w:rPr/>
            </w:pPr>
            <w:r>
              <w:rPr/>
              <w:t> </w:t>
            </w:r>
          </w:p>
        </w:tc>
      </w:tr>
      <w:tr>
        <w:trPr>
          <w:trHeight w:val="120" w:hRule="atLeast"/>
        </w:trPr>
        <w:tc>
          <w:tcPr>
            <w:tcW w:w="1722"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722" w:type="dxa"/>
            <w:tcBorders/>
          </w:tcPr>
          <w:p>
            <w:pPr>
              <w:pStyle w:val="TableContents"/>
              <w:bidi w:val="0"/>
              <w:spacing w:before="0" w:after="283"/>
              <w:jc w:val="left"/>
              <w:rPr/>
            </w:pPr>
            <w:r>
              <w:rPr/>
              <w:t>Section 5.01.</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Events of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5.02.</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Acceleration of Maturity; Rescission and Annulment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5.03.</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Collection of Indebtedness and Suits for Enforcement by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5.04.</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Trustee May File Proof of Claim</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5.05.</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Trustee May Enforce Claims Without Possession of Securities or Coupons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5.06.</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Application of Money Collected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5.07.</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Limitation on Suits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5.08.</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Unconditional Right of Holders to Receive Principal, Premium and Interest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5.09.</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Restoration of Rights and Remedies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5.10.</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Rights and Remedies Cumulative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5.11.</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Delay or Omission Not Waiver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5.12.</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Control by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5.13.</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Waiver of Past Defaults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5.14.</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Undertaking For Costs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5.15.</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Waiver of Stay or Extension Laws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6</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T</w:t>
            </w:r>
            <w:r>
              <w:rPr>
                <w:sz w:val="20"/>
              </w:rPr>
              <w:t>HE</w:t>
            </w:r>
            <w:r>
              <w:rPr/>
              <w:t xml:space="preserve"> T</w:t>
            </w:r>
            <w:r>
              <w:rPr>
                <w:sz w:val="20"/>
              </w:rPr>
              <w:t>RUSTEE</w:t>
            </w:r>
          </w:p>
        </w:tc>
        <w:tc>
          <w:tcPr>
            <w:tcW w:w="64" w:type="dxa"/>
            <w:tcBorders/>
          </w:tcPr>
          <w:p>
            <w:pPr>
              <w:pStyle w:val="TableContents"/>
              <w:bidi w:val="0"/>
              <w:spacing w:before="0" w:after="0"/>
              <w:jc w:val="left"/>
              <w:rPr/>
            </w:pPr>
            <w:r>
              <w:rPr/>
              <w:t> </w:t>
            </w:r>
          </w:p>
        </w:tc>
      </w:tr>
      <w:tr>
        <w:trPr>
          <w:trHeight w:val="120" w:hRule="atLeast"/>
        </w:trPr>
        <w:tc>
          <w:tcPr>
            <w:tcW w:w="1722" w:type="dxa"/>
            <w:tcBorders/>
            <w:vAlign w:val="center"/>
          </w:tcPr>
          <w:p>
            <w:pPr>
              <w:pStyle w:val="TableContents"/>
              <w:bidi w:val="0"/>
              <w:spacing w:before="0" w:after="283"/>
              <w:jc w:val="left"/>
              <w:rPr>
                <w:sz w:val="4"/>
                <w:szCs w:val="4"/>
              </w:rPr>
            </w:pPr>
            <w:r>
              <w:rPr>
                <w:sz w:val="4"/>
                <w:szCs w:val="4"/>
              </w:rPr>
            </w:r>
          </w:p>
        </w:tc>
        <w:tc>
          <w:tcPr>
            <w:tcW w:w="7935"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722" w:type="dxa"/>
            <w:tcBorders/>
          </w:tcPr>
          <w:p>
            <w:pPr>
              <w:pStyle w:val="TableContents"/>
              <w:bidi w:val="0"/>
              <w:spacing w:before="0" w:after="283"/>
              <w:jc w:val="left"/>
              <w:rPr/>
            </w:pPr>
            <w:r>
              <w:rPr/>
              <w:t>Section 6.01.</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Certain Duties and Responsibilities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6.02.</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Notice of Defaults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6.03.</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Certain Rights of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6.04.</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Not Responsible for Recitals or Issuance of Securities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6.05.</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May Hold Securities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6.06.</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Money Held in Trust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6.07.</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Compensation and Reimbursement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6.08.</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Disqualification; Conflicting Interests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6.09.</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Corporate Trustee Required; Eligibility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6.10.</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Resignation and Removal; Appointment of Successor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6.11.</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Acceptance of Appointment by Successor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6.12.</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Merger, Conversion, Consolidation or Succession to Business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6.13.</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Preferential Collection of Claims Against Company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722" w:type="dxa"/>
            <w:tcBorders/>
          </w:tcPr>
          <w:p>
            <w:pPr>
              <w:pStyle w:val="TableContents"/>
              <w:bidi w:val="0"/>
              <w:spacing w:before="0" w:after="283"/>
              <w:jc w:val="left"/>
              <w:rPr/>
            </w:pPr>
            <w:r>
              <w:rPr/>
              <w:t>Section 6.14.</w:t>
            </w:r>
          </w:p>
        </w:tc>
        <w:tc>
          <w:tcPr>
            <w:tcW w:w="122"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0"/>
              <w:jc w:val="left"/>
              <w:rPr>
                <w:rFonts w:ascii="Times New Roman" w:hAnsi="Times New Roman"/>
                <w:i/>
                <w:sz w:val="20"/>
              </w:rPr>
            </w:pPr>
            <w:r>
              <w:rPr>
                <w:rFonts w:ascii="Times New Roman" w:hAnsi="Times New Roman"/>
                <w:i/>
                <w:sz w:val="20"/>
              </w:rPr>
              <w:t>Appointment of Authenticating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2"/>
        <w:gridCol w:w="122"/>
        <w:gridCol w:w="7735"/>
        <w:gridCol w:w="163"/>
        <w:gridCol w:w="60"/>
        <w:gridCol w:w="260"/>
        <w:gridCol w:w="63"/>
      </w:tblGrid>
      <w:tr>
        <w:trPr/>
        <w:tc>
          <w:tcPr>
            <w:tcW w:w="180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3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7</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H</w:t>
            </w:r>
            <w:r>
              <w:rPr>
                <w:sz w:val="20"/>
              </w:rPr>
              <w:t>OLDERS</w:t>
            </w:r>
            <w:r>
              <w:rPr/>
              <w:t>’ L</w:t>
            </w:r>
            <w:r>
              <w:rPr>
                <w:sz w:val="20"/>
              </w:rPr>
              <w:t>ISTS</w:t>
            </w:r>
            <w:r>
              <w:rPr/>
              <w:t xml:space="preserve"> </w:t>
            </w:r>
            <w:r>
              <w:rPr>
                <w:sz w:val="20"/>
              </w:rPr>
              <w:t>AND</w:t>
            </w:r>
            <w:r>
              <w:rPr/>
              <w:t xml:space="preserve"> R</w:t>
            </w:r>
            <w:r>
              <w:rPr>
                <w:sz w:val="20"/>
              </w:rPr>
              <w:t>EPORTS</w:t>
            </w:r>
            <w:r>
              <w:rPr/>
              <w:t xml:space="preserve"> B</w:t>
            </w:r>
            <w:r>
              <w:rPr>
                <w:sz w:val="20"/>
              </w:rPr>
              <w:t>Y</w:t>
            </w:r>
            <w:r>
              <w:rPr/>
              <w:t xml:space="preserve"> T</w:t>
            </w:r>
            <w:r>
              <w:rPr>
                <w:sz w:val="20"/>
              </w:rPr>
              <w:t>RUSTEE</w:t>
            </w:r>
            <w:r>
              <w:rPr/>
              <w:t xml:space="preserve"> </w:t>
            </w:r>
            <w:r>
              <w:rPr>
                <w:sz w:val="20"/>
              </w:rPr>
              <w:t>AND</w:t>
            </w:r>
            <w:r>
              <w:rPr/>
              <w:t xml:space="preserve"> C</w:t>
            </w:r>
            <w:r>
              <w:rPr>
                <w:sz w:val="20"/>
              </w:rPr>
              <w:t>OMPANY</w:t>
            </w:r>
          </w:p>
        </w:tc>
        <w:tc>
          <w:tcPr>
            <w:tcW w:w="63" w:type="dxa"/>
            <w:tcBorders/>
          </w:tcPr>
          <w:p>
            <w:pPr>
              <w:pStyle w:val="TableContents"/>
              <w:bidi w:val="0"/>
              <w:spacing w:before="0" w:after="0"/>
              <w:jc w:val="left"/>
              <w:rPr/>
            </w:pPr>
            <w:r>
              <w:rPr/>
              <w:t xml:space="preserve">  </w:t>
            </w:r>
          </w:p>
        </w:tc>
      </w:tr>
      <w:tr>
        <w:trPr>
          <w:trHeight w:val="120" w:hRule="atLeast"/>
        </w:trPr>
        <w:tc>
          <w:tcPr>
            <w:tcW w:w="1802" w:type="dxa"/>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802" w:type="dxa"/>
            <w:tcBorders/>
          </w:tcPr>
          <w:p>
            <w:pPr>
              <w:pStyle w:val="TableContents"/>
              <w:bidi w:val="0"/>
              <w:spacing w:before="0" w:after="283"/>
              <w:jc w:val="left"/>
              <w:rPr/>
            </w:pPr>
            <w:r>
              <w:rPr/>
              <w:t>Section 7.01.</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Company to Furnish Trustee Names and Addresses of Holders of Registered Securities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7.02.</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Preservation of Information; Communications to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7.03.</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Reports by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7.04.</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Reports by Company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8</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w:t>
            </w:r>
            <w:r>
              <w:rPr>
                <w:sz w:val="20"/>
              </w:rPr>
              <w:t>ONSOLIDATION</w:t>
            </w:r>
            <w:r>
              <w:rPr/>
              <w:t>, M</w:t>
            </w:r>
            <w:r>
              <w:rPr>
                <w:sz w:val="20"/>
              </w:rPr>
              <w:t>ERGER</w:t>
            </w:r>
            <w:r>
              <w:rPr/>
              <w:t>, C</w:t>
            </w:r>
            <w:r>
              <w:rPr>
                <w:sz w:val="20"/>
              </w:rPr>
              <w:t>ONVEYANCE</w:t>
            </w:r>
            <w:r>
              <w:rPr/>
              <w:t>, T</w:t>
            </w:r>
            <w:r>
              <w:rPr>
                <w:sz w:val="20"/>
              </w:rPr>
              <w:t>RANSFER</w:t>
            </w:r>
            <w:r>
              <w:rPr/>
              <w:t xml:space="preserve"> </w:t>
            </w:r>
            <w:r>
              <w:rPr>
                <w:sz w:val="20"/>
              </w:rPr>
              <w:t>OR</w:t>
            </w:r>
            <w:r>
              <w:rPr/>
              <w:t xml:space="preserve"> L</w:t>
            </w:r>
            <w:r>
              <w:rPr>
                <w:sz w:val="20"/>
              </w:rPr>
              <w:t>EASE</w:t>
            </w:r>
          </w:p>
        </w:tc>
        <w:tc>
          <w:tcPr>
            <w:tcW w:w="63" w:type="dxa"/>
            <w:tcBorders/>
          </w:tcPr>
          <w:p>
            <w:pPr>
              <w:pStyle w:val="TableContents"/>
              <w:bidi w:val="0"/>
              <w:spacing w:before="0" w:after="0"/>
              <w:jc w:val="left"/>
              <w:rPr/>
            </w:pPr>
            <w:r>
              <w:rPr/>
              <w:t> </w:t>
            </w:r>
          </w:p>
        </w:tc>
      </w:tr>
      <w:tr>
        <w:trPr>
          <w:trHeight w:val="120" w:hRule="atLeast"/>
        </w:trPr>
        <w:tc>
          <w:tcPr>
            <w:tcW w:w="1802" w:type="dxa"/>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802" w:type="dxa"/>
            <w:tcBorders/>
          </w:tcPr>
          <w:p>
            <w:pPr>
              <w:pStyle w:val="TableContents"/>
              <w:bidi w:val="0"/>
              <w:spacing w:before="0" w:after="283"/>
              <w:jc w:val="left"/>
              <w:rPr/>
            </w:pPr>
            <w:r>
              <w:rPr/>
              <w:t>Section 8.01.</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Company May Consolidate, Etc., Only on Certain Terms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8.02.</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Successor Substituted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9</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S</w:t>
            </w:r>
            <w:r>
              <w:rPr>
                <w:sz w:val="20"/>
              </w:rPr>
              <w:t>UPPLEMENTAL</w:t>
            </w:r>
            <w:r>
              <w:rPr/>
              <w:t xml:space="preserve"> I</w:t>
            </w:r>
            <w:r>
              <w:rPr>
                <w:sz w:val="20"/>
              </w:rPr>
              <w:t>NDENTURES</w:t>
            </w:r>
          </w:p>
        </w:tc>
        <w:tc>
          <w:tcPr>
            <w:tcW w:w="63" w:type="dxa"/>
            <w:tcBorders/>
          </w:tcPr>
          <w:p>
            <w:pPr>
              <w:pStyle w:val="TableContents"/>
              <w:bidi w:val="0"/>
              <w:spacing w:before="0" w:after="0"/>
              <w:jc w:val="left"/>
              <w:rPr/>
            </w:pPr>
            <w:r>
              <w:rPr/>
              <w:t> </w:t>
            </w:r>
          </w:p>
        </w:tc>
      </w:tr>
      <w:tr>
        <w:trPr>
          <w:trHeight w:val="120" w:hRule="atLeast"/>
        </w:trPr>
        <w:tc>
          <w:tcPr>
            <w:tcW w:w="1802" w:type="dxa"/>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802" w:type="dxa"/>
            <w:tcBorders/>
          </w:tcPr>
          <w:p>
            <w:pPr>
              <w:pStyle w:val="TableContents"/>
              <w:bidi w:val="0"/>
              <w:spacing w:before="0" w:after="283"/>
              <w:jc w:val="left"/>
              <w:rPr/>
            </w:pPr>
            <w:r>
              <w:rPr/>
              <w:t>Section 9.01.</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Supplemental Indentures Without Consent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9.02.</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Supplemental Indentures With Consent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9.03.</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Execution of Supplemental Indentures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9.04.</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Effect of Supplemental Indentures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9.05.</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Conformity with Trust Indenture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9.06.</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Reference in Securities to Supplemental Indentures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10</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S</w:t>
            </w:r>
            <w:r>
              <w:rPr>
                <w:sz w:val="20"/>
              </w:rPr>
              <w:t>UBORDINATION</w:t>
            </w:r>
          </w:p>
        </w:tc>
        <w:tc>
          <w:tcPr>
            <w:tcW w:w="63" w:type="dxa"/>
            <w:tcBorders/>
          </w:tcPr>
          <w:p>
            <w:pPr>
              <w:pStyle w:val="TableContents"/>
              <w:bidi w:val="0"/>
              <w:spacing w:before="0" w:after="0"/>
              <w:jc w:val="left"/>
              <w:rPr/>
            </w:pPr>
            <w:r>
              <w:rPr/>
              <w:t> </w:t>
            </w:r>
          </w:p>
        </w:tc>
      </w:tr>
      <w:tr>
        <w:trPr>
          <w:trHeight w:val="120" w:hRule="atLeast"/>
        </w:trPr>
        <w:tc>
          <w:tcPr>
            <w:tcW w:w="1802" w:type="dxa"/>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802" w:type="dxa"/>
            <w:tcBorders/>
          </w:tcPr>
          <w:p>
            <w:pPr>
              <w:pStyle w:val="TableContents"/>
              <w:bidi w:val="0"/>
              <w:spacing w:before="0" w:after="283"/>
              <w:jc w:val="left"/>
              <w:rPr/>
            </w:pPr>
            <w:r>
              <w:rPr/>
              <w:t>Section 10.01.</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Agreement to Subordinate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10.02.</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Liquidation; Dissolution; Bankruptcy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10.03.</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Default on Designated Senior Debt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10.04.</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Acceleration of Securities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10.05.</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When Distribution Must Be Paid Over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10.06.</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Notice by Company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10.07.</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Subrogation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10.08.</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Relative Rights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10.09.</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Subordination May Not Be Impaired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10.10.</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Distribution or Notice to Representative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10.11.</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Reliance on Judicial Order or Certificate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10.12.</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Rights of Trustee and Paying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10.13.</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Authorization to Effect Subordination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10.14.</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Amendments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11</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w:t>
            </w:r>
            <w:r>
              <w:rPr>
                <w:sz w:val="20"/>
              </w:rPr>
              <w:t>OVENANTS</w:t>
            </w:r>
          </w:p>
        </w:tc>
        <w:tc>
          <w:tcPr>
            <w:tcW w:w="63" w:type="dxa"/>
            <w:tcBorders/>
          </w:tcPr>
          <w:p>
            <w:pPr>
              <w:pStyle w:val="TableContents"/>
              <w:bidi w:val="0"/>
              <w:spacing w:before="0" w:after="0"/>
              <w:jc w:val="left"/>
              <w:rPr/>
            </w:pPr>
            <w:r>
              <w:rPr/>
              <w:t> </w:t>
            </w:r>
          </w:p>
        </w:tc>
      </w:tr>
      <w:tr>
        <w:trPr>
          <w:trHeight w:val="120" w:hRule="atLeast"/>
        </w:trPr>
        <w:tc>
          <w:tcPr>
            <w:tcW w:w="1802" w:type="dxa"/>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802" w:type="dxa"/>
            <w:tcBorders/>
          </w:tcPr>
          <w:p>
            <w:pPr>
              <w:pStyle w:val="TableContents"/>
              <w:bidi w:val="0"/>
              <w:spacing w:before="0" w:after="283"/>
              <w:jc w:val="left"/>
              <w:rPr/>
            </w:pPr>
            <w:r>
              <w:rPr/>
              <w:t>Section 11.01.</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Payment of Principal, Premium and Interest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11.02.</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Maintenance of Office or Agency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11.03.</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Money For Security Payments to Be Held in Trust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802" w:type="dxa"/>
            <w:tcBorders/>
          </w:tcPr>
          <w:p>
            <w:pPr>
              <w:pStyle w:val="TableContents"/>
              <w:bidi w:val="0"/>
              <w:spacing w:before="0" w:after="283"/>
              <w:jc w:val="left"/>
              <w:rPr/>
            </w:pPr>
            <w:r>
              <w:rPr/>
              <w:t>Section 11.04.</w:t>
            </w:r>
          </w:p>
        </w:tc>
        <w:tc>
          <w:tcPr>
            <w:tcW w:w="122"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0"/>
              <w:jc w:val="left"/>
              <w:rPr>
                <w:rFonts w:ascii="Times New Roman" w:hAnsi="Times New Roman"/>
                <w:i/>
                <w:sz w:val="20"/>
              </w:rPr>
            </w:pPr>
            <w:r>
              <w:rPr>
                <w:rFonts w:ascii="Times New Roman" w:hAnsi="Times New Roman"/>
                <w:i/>
                <w:sz w:val="20"/>
              </w:rPr>
              <w:t>Restrictions on Secured Debt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9"/>
        <w:gridCol w:w="123"/>
        <w:gridCol w:w="7699"/>
        <w:gridCol w:w="165"/>
        <w:gridCol w:w="60"/>
        <w:gridCol w:w="265"/>
        <w:gridCol w:w="64"/>
      </w:tblGrid>
      <w:tr>
        <w:trPr/>
        <w:tc>
          <w:tcPr>
            <w:tcW w:w="182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11.05.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Restrictions on Sales and Leasebacks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11.06.</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Statement as to Compliance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11.07.</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Corporate Existence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11.08.</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Waiver of Certain Covenants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11.09.</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Additional Amounts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11.10.</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Calculation of Original Issue Discount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12</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R</w:t>
            </w:r>
            <w:r>
              <w:rPr>
                <w:sz w:val="20"/>
              </w:rPr>
              <w:t>EDEMPTION</w:t>
            </w:r>
            <w:r>
              <w:rPr/>
              <w:t xml:space="preserve"> </w:t>
            </w:r>
            <w:r>
              <w:rPr>
                <w:sz w:val="20"/>
              </w:rPr>
              <w:t>OF</w:t>
            </w:r>
            <w:r>
              <w:rPr/>
              <w:t xml:space="preserve"> S</w:t>
            </w:r>
            <w:r>
              <w:rPr>
                <w:sz w:val="20"/>
              </w:rPr>
              <w:t>ECURITIES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12.01.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Applicability of This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Election to Redeem; Notice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Selection by Trustee of Securities to be Redeemed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12.04.</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Notice of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Deposit of Redemption Price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12.06.</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Securities Payable on Redemption Date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12.07.</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Securities Redeemed in Part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13</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S</w:t>
            </w:r>
            <w:r>
              <w:rPr>
                <w:sz w:val="20"/>
              </w:rPr>
              <w:t>INKING</w:t>
            </w:r>
            <w:r>
              <w:rPr/>
              <w:t xml:space="preserve"> F</w:t>
            </w:r>
            <w:r>
              <w:rPr>
                <w:sz w:val="20"/>
              </w:rPr>
              <w:t>UNDS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13.01.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13.02.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Satisfaction of Sinking Fund Payments with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13.03.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Redemption of Securities for Sinking Fund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14</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M</w:t>
            </w:r>
            <w:r>
              <w:rPr>
                <w:sz w:val="20"/>
              </w:rPr>
              <w:t>EETINGS</w:t>
            </w:r>
            <w:r>
              <w:rPr/>
              <w:t xml:space="preserve"> </w:t>
            </w:r>
            <w:r>
              <w:rPr>
                <w:sz w:val="20"/>
              </w:rPr>
              <w:t>OF</w:t>
            </w:r>
            <w:r>
              <w:rPr/>
              <w:t xml:space="preserve"> H</w:t>
            </w:r>
            <w:r>
              <w:rPr>
                <w:sz w:val="20"/>
              </w:rPr>
              <w:t>OLDERS</w:t>
            </w:r>
            <w:r>
              <w:rPr/>
              <w:t xml:space="preserve"> </w:t>
            </w:r>
            <w:r>
              <w:rPr>
                <w:sz w:val="20"/>
              </w:rPr>
              <w:t>OF</w:t>
            </w:r>
            <w:r>
              <w:rPr/>
              <w:t xml:space="preserve"> S</w:t>
            </w:r>
            <w:r>
              <w:rPr>
                <w:sz w:val="20"/>
              </w:rPr>
              <w:t>ECURITIES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14.01.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Purposes for which Meetings may be Called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Call, Notice and Place of Meetings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Persons Entitled to Vote at Meetings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14.04.</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Quorum; Action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Determination of Voting Rights; Conduct and Adjournment of Meetings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14.06.</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Counting Votes and Recording Action of Meetings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14.07.</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U.S.A. Patriot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14.08.</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Counterpart Originals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14.09.</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i/>
                <w:sz w:val="20"/>
              </w:rPr>
            </w:pPr>
            <w:r>
              <w:rPr>
                <w:rFonts w:ascii="Times New Roman" w:hAnsi="Times New Roman"/>
                <w:i/>
                <w:sz w:val="20"/>
              </w:rPr>
              <w:t>Force Majeure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 20  , from THE CAMPBELL’S COMPANY, a New Jersey corporation (hereinafter called the “</w:t>
      </w:r>
      <w:r>
        <w:rPr>
          <w:rFonts w:ascii="Times New Roman" w:hAnsi="Times New Roman"/>
          <w:b/>
          <w:sz w:val="20"/>
        </w:rPr>
        <w:t>Company</w:t>
      </w:r>
      <w:r>
        <w:rPr>
          <w:rFonts w:ascii="Times New Roman" w:hAnsi="Times New Roman"/>
          <w:sz w:val="20"/>
        </w:rPr>
        <w:t>”) having its principal office at One Campbell Place, Camden, New Jersey 08103-1799 to U.S. BANK TRUST COMPANY, NATIONAL ASSOCIATION, a national banking corporation (hereinafter called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execution and delivery of this Indenture to provide for the issuance from time to time of its unsecured subordinated debentures, notes or other evidences of indebtedness (hereinafter called the “</w:t>
      </w:r>
      <w:r>
        <w:rPr>
          <w:rFonts w:ascii="Times New Roman" w:hAnsi="Times New Roman"/>
          <w:b/>
          <w:sz w:val="20"/>
        </w:rPr>
        <w:t>Securities</w:t>
      </w:r>
      <w:r>
        <w:rPr>
          <w:rFonts w:ascii="Times New Roman" w:hAnsi="Times New Roman"/>
          <w:sz w:val="20"/>
        </w:rPr>
        <w:t xml:space="preserve">”), to be issued in one or more series as in this Indenture provided.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covenanted and agreed, for the equal and proportionate benefit of all Holders of the Securities or of a series thereof,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For all purposes of this Indenture,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Article have the meanings assigned to them in this Article, and include the plural as well as the singular, </w:t>
      </w:r>
    </w:p>
    <w:p>
      <w:pPr>
        <w:pStyle w:val="TextBody"/>
        <w:bidi w:val="0"/>
        <w:spacing w:before="240" w:after="0"/>
        <w:jc w:val="left"/>
        <w:rPr>
          <w:rFonts w:ascii="Times New Roman" w:hAnsi="Times New Roman"/>
          <w:sz w:val="20"/>
        </w:rPr>
      </w:pPr>
      <w:r>
        <w:rPr>
          <w:rFonts w:ascii="Times New Roman" w:hAnsi="Times New Roman"/>
          <w:sz w:val="20"/>
        </w:rPr>
        <w:t xml:space="preserve">(b) all other term used herein which are defined in the Trust Indenture Act, either directly or by reference therein,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(c) all accounting terms not otherwise defined herein have the meanings assigned to them in accordance with generally accepted accounting principles in the United States, and, except as otherwise herein expressly provided, the term “</w:t>
      </w:r>
      <w:r>
        <w:rPr>
          <w:rFonts w:ascii="Times New Roman" w:hAnsi="Times New Roman"/>
          <w:b/>
          <w:sz w:val="20"/>
        </w:rPr>
        <w:t>generally accepted accounting principles</w:t>
      </w:r>
      <w:r>
        <w:rPr>
          <w:rFonts w:ascii="Times New Roman" w:hAnsi="Times New Roman"/>
          <w:sz w:val="20"/>
        </w:rPr>
        <w:t xml:space="preserve">” with respect to any computation required or permitted hereunder shall mean such accounting principles which are generally accepted in the United States at the date or time of such computation; and </w:t>
      </w:r>
    </w:p>
    <w:p>
      <w:pPr>
        <w:pStyle w:val="TextBody"/>
        <w:bidi w:val="0"/>
        <w:spacing w:before="240" w:after="0"/>
        <w:jc w:val="left"/>
        <w:rPr>
          <w:rFonts w:ascii="Times New Roman" w:hAnsi="Times New Roman"/>
          <w:sz w:val="20"/>
        </w:rPr>
      </w:pPr>
      <w:r>
        <w:rPr>
          <w:rFonts w:ascii="Times New Roman" w:hAnsi="Times New Roman"/>
          <w:sz w:val="20"/>
        </w:rPr>
        <w:t>(d) the words “</w:t>
      </w:r>
      <w:r>
        <w:rPr>
          <w:rFonts w:ascii="Times New Roman" w:hAnsi="Times New Roman"/>
          <w:b/>
          <w:sz w:val="20"/>
        </w:rPr>
        <w:t>herein</w:t>
      </w:r>
      <w:r>
        <w:rPr>
          <w:rFonts w:ascii="Times New Roman" w:hAnsi="Times New Roman"/>
          <w:sz w:val="20"/>
        </w:rPr>
        <w:t>,” “</w:t>
      </w:r>
      <w:r>
        <w:rPr>
          <w:rFonts w:ascii="Times New Roman" w:hAnsi="Times New Roman"/>
          <w:b/>
          <w:sz w:val="20"/>
        </w:rPr>
        <w:t>hereof</w:t>
      </w:r>
      <w:r>
        <w:rPr>
          <w:rFonts w:ascii="Times New Roman" w:hAnsi="Times New Roman"/>
          <w:sz w:val="20"/>
        </w:rPr>
        <w:t>” and “</w:t>
      </w:r>
      <w:r>
        <w:rPr>
          <w:rFonts w:ascii="Times New Roman" w:hAnsi="Times New Roman"/>
          <w:b/>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principally in Article 6, are defined in that Article.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Act</w:t>
      </w:r>
      <w:r>
        <w:rPr>
          <w:rFonts w:ascii="Times New Roman" w:hAnsi="Times New Roman"/>
          <w:sz w:val="20"/>
        </w:rPr>
        <w:t xml:space="preserve">”, when used with respect to any Holder, has the meaning specified in Section 1.04.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of any specified Person means any other Person directly or indirectly controlling or controlled by or under direct or indirect common control with such specified Person. For the purposes of this definition, “</w:t>
      </w:r>
      <w:r>
        <w:rPr>
          <w:rFonts w:ascii="Times New Roman" w:hAnsi="Times New Roman"/>
          <w:b/>
          <w:sz w:val="20"/>
        </w:rPr>
        <w:t>control</w:t>
      </w:r>
      <w:r>
        <w:rPr>
          <w:rFonts w:ascii="Times New Roman" w:hAnsi="Times New Roman"/>
          <w:sz w:val="20"/>
        </w:rPr>
        <w:t>” when used with respect to any specified Person means the power to direct the management and policies of such Person, directly or indirectly, whether through the ownership of voting securities, by contract or otherwise; and the terms “</w:t>
      </w:r>
      <w:r>
        <w:rPr>
          <w:rFonts w:ascii="Times New Roman" w:hAnsi="Times New Roman"/>
          <w:b/>
          <w:sz w:val="20"/>
        </w:rPr>
        <w:t>controlling</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have meanings correlative to the foregoing. </w:t>
      </w:r>
    </w:p>
    <w:p>
      <w:pPr>
        <w:pStyle w:val="TextBody"/>
        <w:bidi w:val="0"/>
        <w:spacing w:before="240" w:after="0"/>
        <w:jc w:val="left"/>
        <w:rPr/>
      </w:pPr>
      <w:r>
        <w:rPr/>
        <w:t>“</w:t>
      </w:r>
      <w:r>
        <w:rPr>
          <w:rFonts w:ascii="Times New Roman" w:hAnsi="Times New Roman"/>
          <w:b/>
          <w:sz w:val="20"/>
        </w:rPr>
        <w:t>Attributable Debt</w:t>
      </w:r>
      <w:r>
        <w:rPr>
          <w:rFonts w:ascii="Times New Roman" w:hAnsi="Times New Roman"/>
          <w:sz w:val="20"/>
        </w:rPr>
        <w:t xml:space="preserve">” means, as to any particular lease under which any Person is at the time liable and at any date as of which the amount thereof is to be determined, the total net amount of rent required to be paid by such Person under such lease during the remaining primary term thereof, discounted from the respective due dates thereof to such date at the actual percentage rate inherent in such arrangement as determined in good faith by the Company. The net amount of rent required to be paid under any such lease for any such period shall be the aggregate amount of the rent payable by the lessee with respect to such period after excluding amounts required to be paid on account of maintenance and repairs, insurance, taxes, assessments, water rates and similar charges.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 </w:t>
      </w:r>
    </w:p>
    <w:p>
      <w:pPr>
        <w:pStyle w:val="TextBody"/>
        <w:bidi w:val="0"/>
        <w:spacing w:before="240" w:after="0"/>
        <w:jc w:val="left"/>
        <w:rPr/>
      </w:pPr>
      <w:r>
        <w:rPr/>
        <w:t>“</w:t>
      </w:r>
      <w:r>
        <w:rPr>
          <w:rFonts w:ascii="Times New Roman" w:hAnsi="Times New Roman"/>
          <w:b/>
          <w:sz w:val="20"/>
        </w:rPr>
        <w:t>Authenticating Agent</w:t>
      </w:r>
      <w:r>
        <w:rPr>
          <w:rFonts w:ascii="Times New Roman" w:hAnsi="Times New Roman"/>
          <w:sz w:val="20"/>
        </w:rPr>
        <w:t xml:space="preserve">” means any Person authorized by the Trustee pursuant to Section 6.14 to act on behalf of the Trustee to authenticate Securities of one or more series. </w:t>
      </w:r>
    </w:p>
    <w:p>
      <w:pPr>
        <w:pStyle w:val="TextBody"/>
        <w:bidi w:val="0"/>
        <w:spacing w:before="240" w:after="0"/>
        <w:jc w:val="left"/>
        <w:rPr/>
      </w:pPr>
      <w:r>
        <w:rPr/>
        <w:t>“</w:t>
      </w:r>
      <w:r>
        <w:rPr>
          <w:rFonts w:ascii="Times New Roman" w:hAnsi="Times New Roman"/>
          <w:b/>
          <w:sz w:val="20"/>
        </w:rPr>
        <w:t>Authorized Newspaper</w:t>
      </w:r>
      <w:r>
        <w:rPr>
          <w:rFonts w:ascii="Times New Roman" w:hAnsi="Times New Roman"/>
          <w:sz w:val="20"/>
        </w:rPr>
        <w:t xml:space="preserve">”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 </w:t>
      </w:r>
    </w:p>
    <w:p>
      <w:pPr>
        <w:pStyle w:val="TextBody"/>
        <w:bidi w:val="0"/>
        <w:spacing w:before="240" w:after="0"/>
        <w:jc w:val="left"/>
        <w:rPr/>
      </w:pPr>
      <w:r>
        <w:rPr/>
        <w:t>“</w:t>
      </w:r>
      <w:r>
        <w:rPr>
          <w:rFonts w:ascii="Times New Roman" w:hAnsi="Times New Roman"/>
          <w:b/>
          <w:sz w:val="20"/>
        </w:rPr>
        <w:t>Authorized Officer</w:t>
      </w:r>
      <w:r>
        <w:rPr>
          <w:rFonts w:ascii="Times New Roman" w:hAnsi="Times New Roman"/>
          <w:sz w:val="20"/>
        </w:rPr>
        <w:t xml:space="preserve">”, when used with respect to the Company, means the Chairman of the Board, the Vice Chairman of the Board, the President, the chief financial officer, the chief legal officer, the Treasurer, a Deputy Treasurer, an Assistant Treasurer, the Controller, an Assistant Controller, the Secretary or an Assistant Secretary of the Company. </w:t>
      </w:r>
    </w:p>
    <w:p>
      <w:pPr>
        <w:pStyle w:val="TextBody"/>
        <w:bidi w:val="0"/>
        <w:spacing w:before="240" w:after="0"/>
        <w:jc w:val="left"/>
        <w:rPr/>
      </w:pPr>
      <w:r>
        <w:rPr/>
        <w:t>“</w:t>
      </w:r>
      <w:r>
        <w:rPr>
          <w:rFonts w:ascii="Times New Roman" w:hAnsi="Times New Roman"/>
          <w:b/>
          <w:sz w:val="20"/>
        </w:rPr>
        <w:t>Bearer Security</w:t>
      </w:r>
      <w:r>
        <w:rPr>
          <w:rFonts w:ascii="Times New Roman" w:hAnsi="Times New Roman"/>
          <w:sz w:val="20"/>
        </w:rPr>
        <w:t xml:space="preserve">” means any Security substantially in the form for Bearer Securities set forth in Exhibit B or established pursuant to Section 2.01 which is payable to bearer.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Board of Directors</w:t>
      </w:r>
      <w:r>
        <w:rPr>
          <w:rFonts w:ascii="Times New Roman" w:hAnsi="Times New Roman"/>
          <w:sz w:val="20"/>
        </w:rPr>
        <w:t xml:space="preserve">” means either the board of directors of the Company or any duly authorized committee of that board.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rPr>
        <w:t>Book-Entry Security</w:t>
      </w:r>
      <w:r>
        <w:rPr>
          <w:rFonts w:ascii="Times New Roman" w:hAnsi="Times New Roman"/>
          <w:sz w:val="20"/>
        </w:rPr>
        <w:t xml:space="preserve">” means a Security bearing the legend specified in Section 2.04, evidencing all or part of a series of Securities, issued to the Depository for such series or its nominee, and registered in the name of such Depository or such nominee. Book-Entry Securities shall not be deemed to be Securities in global form for purposes of Sections 2.01 and 2.03 and Article 3 of the Indenture.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when used with respect to any Place of Payment or any other particular location referred to in the Indenture or in the Securities, means each Monday, Tuesday, Wednesday, Thursday and Friday which is not a day on which banking institutions in that Place of Payment or other location are authorized or obligated by law or executive order to close, unless otherwise specified for a particular series of Securities.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as applied to the stock of any corporation, means the capital stock of every class whether now or hereafter authorized, regardless of whether such capital stock shall be limited to a fixed sum or percentage with respect to the rights of the holders thereof to participate in dividends and in the distribution of assets upon the voluntary or involuntary liquidation, dissolution or winding up of such corporation. </w:t>
      </w:r>
    </w:p>
    <w:p>
      <w:pPr>
        <w:pStyle w:val="TextBody"/>
        <w:bidi w:val="0"/>
        <w:spacing w:before="240" w:after="0"/>
        <w:jc w:val="left"/>
        <w:rPr/>
      </w:pPr>
      <w:r>
        <w:rPr/>
        <w:t>“</w:t>
      </w:r>
      <w:r>
        <w:rPr>
          <w:rFonts w:ascii="Times New Roman" w:hAnsi="Times New Roman"/>
          <w:b/>
          <w:sz w:val="20"/>
        </w:rPr>
        <w:t>Clearstream</w:t>
      </w:r>
      <w:r>
        <w:rPr>
          <w:rFonts w:ascii="Times New Roman" w:hAnsi="Times New Roman"/>
          <w:sz w:val="20"/>
        </w:rPr>
        <w:t xml:space="preserve">” means Clearstream Banking, société anonyme, or its successor.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b/>
          <w:sz w:val="20"/>
        </w:rPr>
        <w:t>Common Depository</w:t>
      </w:r>
      <w:r>
        <w:rPr>
          <w:rFonts w:ascii="Times New Roman" w:hAnsi="Times New Roman"/>
          <w:sz w:val="20"/>
        </w:rPr>
        <w:t xml:space="preserve">” has the meaning specified in Section 3.04.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means the Person named as the “</w:t>
      </w:r>
      <w:r>
        <w:rPr>
          <w:rFonts w:ascii="Times New Roman" w:hAnsi="Times New Roman"/>
          <w:b/>
          <w:sz w:val="20"/>
        </w:rPr>
        <w:t>Company</w:t>
      </w:r>
      <w:r>
        <w:rPr>
          <w:rFonts w:ascii="Times New Roman" w:hAnsi="Times New Roman"/>
          <w:sz w:val="20"/>
        </w:rPr>
        <w:t>” in the first paragraph of this instrument until a successor Person shall have become such pursuant to the applicable provisions of this Indenture, and thereafter “</w:t>
      </w:r>
      <w:r>
        <w:rPr>
          <w:rFonts w:ascii="Times New Roman" w:hAnsi="Times New Roman"/>
          <w:b/>
          <w:sz w:val="20"/>
        </w:rPr>
        <w:t>Company</w:t>
      </w:r>
      <w:r>
        <w:rPr>
          <w:rFonts w:ascii="Times New Roman" w:hAnsi="Times New Roman"/>
          <w:sz w:val="20"/>
        </w:rPr>
        <w:t xml:space="preserve">” shall mean such successor Person. </w:t>
      </w:r>
    </w:p>
    <w:p>
      <w:pPr>
        <w:pStyle w:val="TextBody"/>
        <w:bidi w:val="0"/>
        <w:spacing w:before="240" w:after="0"/>
        <w:jc w:val="left"/>
        <w:rPr/>
      </w:pPr>
      <w:r>
        <w:rPr/>
        <w:t>“</w:t>
      </w:r>
      <w:r>
        <w:rPr>
          <w:rFonts w:ascii="Times New Roman" w:hAnsi="Times New Roman"/>
          <w:b/>
          <w:sz w:val="20"/>
        </w:rPr>
        <w:t>Company Request</w:t>
      </w:r>
      <w:r>
        <w:rPr>
          <w:rFonts w:ascii="Times New Roman" w:hAnsi="Times New Roman"/>
          <w:sz w:val="20"/>
        </w:rPr>
        <w:t>” and “</w:t>
      </w:r>
      <w:r>
        <w:rPr>
          <w:rFonts w:ascii="Times New Roman" w:hAnsi="Times New Roman"/>
          <w:b/>
          <w:sz w:val="20"/>
        </w:rPr>
        <w:t>Company Order</w:t>
      </w:r>
      <w:r>
        <w:rPr>
          <w:rFonts w:ascii="Times New Roman" w:hAnsi="Times New Roman"/>
          <w:sz w:val="20"/>
        </w:rPr>
        <w:t xml:space="preserve">” mean, respectively, a written request or order signed in the name of the Company by two Authorized Officers of the Company, and delivered to the Trustee. </w:t>
      </w:r>
    </w:p>
    <w:p>
      <w:pPr>
        <w:pStyle w:val="TextBody"/>
        <w:bidi w:val="0"/>
        <w:spacing w:before="240" w:after="0"/>
        <w:jc w:val="left"/>
        <w:rPr/>
      </w:pPr>
      <w:r>
        <w:rPr/>
        <w:t>“</w:t>
      </w:r>
      <w:r>
        <w:rPr>
          <w:rFonts w:ascii="Times New Roman" w:hAnsi="Times New Roman"/>
          <w:b/>
          <w:sz w:val="20"/>
        </w:rPr>
        <w:t>Consolidated Net Assets</w:t>
      </w:r>
      <w:r>
        <w:rPr>
          <w:rFonts w:ascii="Times New Roman" w:hAnsi="Times New Roman"/>
          <w:sz w:val="20"/>
        </w:rPr>
        <w:t xml:space="preserve">” means total assets after deducting therefrom all current liabilities as set forth on the most recent balance sheet of the Company and its consolidated subsidiaries and computed in accordance with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for purposes of payment only at 111 Fillmore Avenue, St. Paul, MN 55107, Attention: Global Corporate Trust–The Campbell’s Company, and for all other purposes hereunder is located at 333 Thornall Street, 4th Floor, Edison, NJ, 08837, Attention: Global Corporate Trust – The Campbell’s Company,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b/>
          <w:sz w:val="20"/>
        </w:rPr>
        <w:t>coupon</w:t>
      </w:r>
      <w:r>
        <w:rPr>
          <w:rFonts w:ascii="Times New Roman" w:hAnsi="Times New Roman"/>
          <w:sz w:val="20"/>
        </w:rPr>
        <w:t xml:space="preserve">” means any interest coupon appertaining to a Bearer Security. </w:t>
      </w:r>
    </w:p>
    <w:p>
      <w:pPr>
        <w:pStyle w:val="TextBody"/>
        <w:bidi w:val="0"/>
        <w:spacing w:before="240" w:after="0"/>
        <w:jc w:val="left"/>
        <w:rPr/>
      </w:pPr>
      <w:r>
        <w:rPr/>
        <w:t>“</w:t>
      </w:r>
      <w:r>
        <w:rPr>
          <w:rFonts w:ascii="Times New Roman" w:hAnsi="Times New Roman"/>
          <w:b/>
          <w:sz w:val="20"/>
        </w:rPr>
        <w:t>Defaulted Interest</w:t>
      </w:r>
      <w:r>
        <w:rPr>
          <w:rFonts w:ascii="Times New Roman" w:hAnsi="Times New Roman"/>
          <w:sz w:val="20"/>
        </w:rPr>
        <w:t xml:space="preserve">” has the meaning specified in Section 3.07. </w:t>
      </w:r>
    </w:p>
    <w:p>
      <w:pPr>
        <w:pStyle w:val="TextBody"/>
        <w:bidi w:val="0"/>
        <w:spacing w:before="240" w:after="0"/>
        <w:jc w:val="left"/>
        <w:rPr/>
      </w:pPr>
      <w:r>
        <w:rPr/>
        <w:t>“</w:t>
      </w:r>
      <w:r>
        <w:rPr>
          <w:rFonts w:ascii="Times New Roman" w:hAnsi="Times New Roman"/>
          <w:b/>
          <w:sz w:val="20"/>
        </w:rPr>
        <w:t>Depository</w:t>
      </w:r>
      <w:r>
        <w:rPr>
          <w:rFonts w:ascii="Times New Roman" w:hAnsi="Times New Roman"/>
          <w:sz w:val="20"/>
        </w:rPr>
        <w:t xml:space="preserve">” means with respect to the Securities of any series issuable or issued in whole or in part in the form of one or more Book-Entry Securities, the clearing agency registered under the Exchange Act, specified for that purpose contemplated by Section 3.01. </w:t>
      </w:r>
    </w:p>
    <w:p>
      <w:pPr>
        <w:pStyle w:val="TextBody"/>
        <w:bidi w:val="0"/>
        <w:spacing w:before="240" w:after="0"/>
        <w:jc w:val="left"/>
        <w:rPr/>
      </w:pPr>
      <w:r>
        <w:rPr/>
        <w:t>“</w:t>
      </w:r>
      <w:r>
        <w:rPr>
          <w:rFonts w:ascii="Times New Roman" w:hAnsi="Times New Roman"/>
          <w:b/>
          <w:sz w:val="20"/>
        </w:rPr>
        <w:t>Designated Senior Debt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outstanding under a credit agreement for Senior Debt or any other indebtedness for money borrowed that is issued as a replacement or a refinancing of either of such debt facilities; and </w:t>
      </w:r>
    </w:p>
    <w:p>
      <w:pPr>
        <w:pStyle w:val="TextBody"/>
        <w:bidi w:val="0"/>
        <w:spacing w:before="240" w:after="0"/>
        <w:jc w:val="left"/>
        <w:rPr>
          <w:rFonts w:ascii="Times New Roman" w:hAnsi="Times New Roman"/>
          <w:sz w:val="20"/>
        </w:rPr>
      </w:pPr>
      <w:r>
        <w:rPr>
          <w:rFonts w:ascii="Times New Roman" w:hAnsi="Times New Roman"/>
          <w:sz w:val="20"/>
        </w:rPr>
        <w:t xml:space="preserve">(2) any other Senior Debt the principal amount of which is $25.0 million or more and that has been designated by the Company in an Officers’ Certificate to the Trustee as “Designated Senior Debt.” </w:t>
      </w:r>
    </w:p>
    <w:p>
      <w:pPr>
        <w:pStyle w:val="TextBody"/>
        <w:bidi w:val="0"/>
        <w:spacing w:before="240" w:after="0"/>
        <w:jc w:val="left"/>
        <w:rPr/>
      </w:pPr>
      <w:r>
        <w:rPr/>
        <w:t>“</w:t>
      </w:r>
      <w:r>
        <w:rPr>
          <w:rFonts w:ascii="Times New Roman" w:hAnsi="Times New Roman"/>
          <w:b/>
          <w:sz w:val="20"/>
        </w:rPr>
        <w:t>Dollar</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a dollar or other equivalent unit in such coin or currency of the United States as at the time shall be legal tender for the payment of public and private debts.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and any successor to DTC in its capacity as depository for the Securities. </w:t>
      </w:r>
    </w:p>
    <w:p>
      <w:pPr>
        <w:pStyle w:val="TextBody"/>
        <w:bidi w:val="0"/>
        <w:spacing w:before="240" w:after="0"/>
        <w:jc w:val="left"/>
        <w:rPr/>
      </w:pPr>
      <w:r>
        <w:rPr/>
        <w:t>“</w:t>
      </w:r>
      <w:r>
        <w:rPr>
          <w:rFonts w:ascii="Times New Roman" w:hAnsi="Times New Roman"/>
          <w:b/>
          <w:sz w:val="20"/>
        </w:rPr>
        <w:t>Euroclear</w:t>
      </w:r>
      <w:r>
        <w:rPr>
          <w:rFonts w:ascii="Times New Roman" w:hAnsi="Times New Roman"/>
          <w:sz w:val="20"/>
        </w:rPr>
        <w:t xml:space="preserve">” means the operator of the Euroclear System.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specified in Section 5.01.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as it may be further amended from time to time. </w:t>
      </w:r>
    </w:p>
    <w:p>
      <w:pPr>
        <w:pStyle w:val="TextBody"/>
        <w:bidi w:val="0"/>
        <w:spacing w:before="240" w:after="0"/>
        <w:jc w:val="left"/>
        <w:rPr/>
      </w:pPr>
      <w:r>
        <w:rPr/>
        <w:t>“</w:t>
      </w:r>
      <w:r>
        <w:rPr>
          <w:rFonts w:ascii="Times New Roman" w:hAnsi="Times New Roman"/>
          <w:b/>
          <w:sz w:val="20"/>
        </w:rPr>
        <w:t>Exchange Date</w:t>
      </w:r>
      <w:r>
        <w:rPr>
          <w:rFonts w:ascii="Times New Roman" w:hAnsi="Times New Roman"/>
          <w:sz w:val="20"/>
        </w:rPr>
        <w:t xml:space="preserve">” has the meaning specified in Section 3.04.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Foreign Currency</w:t>
      </w:r>
      <w:r>
        <w:rPr>
          <w:rFonts w:ascii="Times New Roman" w:hAnsi="Times New Roman"/>
          <w:sz w:val="20"/>
        </w:rPr>
        <w:t xml:space="preserve">” means any currency, currency unit or composite currency, including, without limitation, the ECU issued by the government of one or more countries other than the United States of America or by any recognized confederation or association of such governments. </w:t>
      </w:r>
    </w:p>
    <w:p>
      <w:pPr>
        <w:pStyle w:val="TextBody"/>
        <w:bidi w:val="0"/>
        <w:spacing w:before="240" w:after="0"/>
        <w:jc w:val="left"/>
        <w:rPr/>
      </w:pPr>
      <w:r>
        <w:rPr/>
        <w:t>“</w:t>
      </w:r>
      <w:r>
        <w:rPr>
          <w:rFonts w:ascii="Times New Roman" w:hAnsi="Times New Roman"/>
          <w:b/>
          <w:sz w:val="20"/>
        </w:rPr>
        <w:t>Funded Debt</w:t>
      </w:r>
      <w:r>
        <w:rPr>
          <w:rFonts w:ascii="Times New Roman" w:hAnsi="Times New Roman"/>
          <w:sz w:val="20"/>
        </w:rPr>
        <w:t xml:space="preserve">” means (i) all indebtedness for money borrowed having a maturity of more than 12 months from the date as of which the determination is made or having a maturity of 12 months or less but by its terms being renewable or extendible beyond 12 months from such date at the option of the borrower and (ii) rental obligations payable more than 12 months from such date under leases which are capitalized in accordance with generally accepted accounting principles (such rental obligations to be included as Funded Debt at the amount so capitalized and to be included for the purposes of the definition of Consolidated Net Assets both as an asset and as Funded Debt at the amount so capitalized).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in the case of a Registered Security the Person in whose name the Security is registered in the Security Register and in the case of a Bearer Security, or any related coupon, the bearer thereof.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pursuant to the applicable provisions hereof and shall include the terms of a particular series of Securities established as contemplated by Section 3.01. </w:t>
      </w:r>
    </w:p>
    <w:p>
      <w:pPr>
        <w:pStyle w:val="TextBody"/>
        <w:bidi w:val="0"/>
        <w:spacing w:before="240" w:after="0"/>
        <w:jc w:val="left"/>
        <w:rPr/>
      </w:pPr>
      <w:r>
        <w:rPr/>
        <w:t>“</w:t>
      </w:r>
      <w:r>
        <w:rPr>
          <w:rFonts w:ascii="Times New Roman" w:hAnsi="Times New Roman"/>
          <w:b/>
          <w:sz w:val="20"/>
        </w:rPr>
        <w:t>interest</w:t>
      </w:r>
      <w:r>
        <w:rPr>
          <w:rFonts w:ascii="Times New Roman" w:hAnsi="Times New Roman"/>
          <w:sz w:val="20"/>
        </w:rPr>
        <w:t xml:space="preserve">”, when used with respect to an Original Issue Discount Security which by its terms bears interest only after Maturity, means interest payable after Maturity.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when used with respect to any Security, means the Stated Maturity of an installment of interest on such Security. </w:t>
      </w:r>
    </w:p>
    <w:p>
      <w:pPr>
        <w:pStyle w:val="TextBody"/>
        <w:bidi w:val="0"/>
        <w:spacing w:before="240" w:after="0"/>
        <w:jc w:val="left"/>
        <w:rPr/>
      </w:pPr>
      <w:r>
        <w:rPr/>
        <w:t>“</w:t>
      </w:r>
      <w:r>
        <w:rPr>
          <w:rFonts w:ascii="Times New Roman" w:hAnsi="Times New Roman"/>
          <w:b/>
          <w:sz w:val="20"/>
        </w:rPr>
        <w:t>Judgment Currency</w:t>
      </w:r>
      <w:r>
        <w:rPr>
          <w:rFonts w:ascii="Times New Roman" w:hAnsi="Times New Roman"/>
          <w:sz w:val="20"/>
        </w:rPr>
        <w:t xml:space="preserve">” has the meaning specified in Section 1.14. </w:t>
      </w:r>
    </w:p>
    <w:p>
      <w:pPr>
        <w:pStyle w:val="TextBody"/>
        <w:bidi w:val="0"/>
        <w:spacing w:before="240" w:after="0"/>
        <w:jc w:val="left"/>
        <w:rPr/>
      </w:pPr>
      <w:r>
        <w:rPr/>
        <w:t>“</w:t>
      </w:r>
      <w:r>
        <w:rPr>
          <w:rFonts w:ascii="Times New Roman" w:hAnsi="Times New Roman"/>
          <w:b/>
          <w:sz w:val="20"/>
        </w:rPr>
        <w:t>Maturity</w:t>
      </w:r>
      <w:r>
        <w:rPr>
          <w:rFonts w:ascii="Times New Roman" w:hAnsi="Times New Roman"/>
          <w:sz w:val="20"/>
        </w:rPr>
        <w:t xml:space="preserve">”,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b/>
          <w:sz w:val="20"/>
        </w:rPr>
        <w:t>New York Business Day</w:t>
      </w:r>
      <w:r>
        <w:rPr>
          <w:rFonts w:ascii="Times New Roman" w:hAnsi="Times New Roman"/>
          <w:sz w:val="20"/>
        </w:rPr>
        <w:t xml:space="preserve">” means any day which is not a Saturday, Sunday, or a day on which commercial banking institutions are authorized or obligated by law, regulation or executive order to be closed in the City of New York.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two Authorized Officers of the Company and delivered to the Trustee.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 written opinion of counsel, who may be an employee of or counsel to the Company reasonably satisfactory to the Trustee. </w:t>
      </w:r>
    </w:p>
    <w:p>
      <w:pPr>
        <w:pStyle w:val="TextBody"/>
        <w:bidi w:val="0"/>
        <w:spacing w:before="240" w:after="0"/>
        <w:jc w:val="left"/>
        <w:rPr/>
      </w:pPr>
      <w:r>
        <w:rPr/>
        <w:t>“</w:t>
      </w:r>
      <w:r>
        <w:rPr>
          <w:rFonts w:ascii="Times New Roman" w:hAnsi="Times New Roman"/>
          <w:b/>
          <w:sz w:val="20"/>
        </w:rPr>
        <w:t>Original Issue Discount Security</w:t>
      </w:r>
      <w:r>
        <w:rPr>
          <w:rFonts w:ascii="Times New Roman" w:hAnsi="Times New Roman"/>
          <w:sz w:val="20"/>
        </w:rPr>
        <w:t xml:space="preserve">” means any Security which provides for an amount less than the principal amount thereof to be due and payable upon a declaration of acceleration of the Stated Maturity thereof pursuant to Section 5.02.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Outstanding</w:t>
      </w:r>
      <w:r>
        <w:rPr>
          <w:rFonts w:ascii="Times New Roman" w:hAnsi="Times New Roman"/>
          <w:sz w:val="20"/>
        </w:rPr>
        <w:t xml:space="preserve">”, when used with respect to Securities of all Series or Securities of any series means, as of the date of determination, all such Securities theretofore authenticated and delivered under this Indenture, </w:t>
      </w:r>
      <w:r>
        <w:rPr>
          <w:rFonts w:ascii="Times New Roman" w:hAnsi="Times New Roman"/>
          <w:i/>
          <w:sz w:val="20"/>
        </w:rPr>
        <w:t>except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Such Securities theretofore cancelled by the Trustee or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(ii) Such Securities or portions thereof for whose payment or redemption (a) money in the necessary amount has been theretofore deposited in trust with the Trustee or any Paying Agent (other than the Company) or set aside and segregated in trust by the Company (if the Company shall act as its own Paying Agent) for the Holders of such Securities and any coupons appertaining thereto or (b) U.S. Government Obligations as contemplated by Section 4.03 in the necessary amount have been theretofore deposited in satisfaction of the requirements of Section 4.03 with the Trustee (or another trustee satisfying the requirements of Section 6.09) in trust for the Holders of such Securities and any coupons thereto appertaining in accordance with Section 4.02; </w:t>
      </w:r>
      <w:r>
        <w:rPr>
          <w:rFonts w:ascii="Times New Roman" w:hAnsi="Times New Roman"/>
          <w:i/>
          <w:sz w:val="20"/>
        </w:rPr>
        <w:t>provided</w:t>
      </w:r>
      <w:r>
        <w:rPr>
          <w:rFonts w:ascii="Times New Roman" w:hAnsi="Times New Roman"/>
          <w:sz w:val="20"/>
        </w:rPr>
        <w:t xml:space="preserve"> that, if such Securities are to be redeemed, notice of such redemption has been duly given pursuant to this Indenture or provision therefor satisfactory to the Trustee has been made; and </w:t>
      </w:r>
    </w:p>
    <w:p>
      <w:pPr>
        <w:pStyle w:val="TextBody"/>
        <w:bidi w:val="0"/>
        <w:spacing w:before="120" w:after="0"/>
        <w:jc w:val="left"/>
        <w:rPr>
          <w:rFonts w:ascii="Times New Roman" w:hAnsi="Times New Roman"/>
          <w:sz w:val="20"/>
        </w:rPr>
      </w:pPr>
      <w:r>
        <w:rPr>
          <w:rFonts w:ascii="Times New Roman" w:hAnsi="Times New Roman"/>
          <w:sz w:val="20"/>
        </w:rPr>
        <w:t xml:space="preserve">(iii) Such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w:t>
      </w:r>
      <w:r>
        <w:rPr>
          <w:rFonts w:ascii="Times New Roman" w:hAnsi="Times New Roman"/>
          <w:i/>
          <w:sz w:val="20"/>
        </w:rPr>
        <w:t>bona</w:t>
      </w:r>
      <w:r>
        <w:rPr>
          <w:rFonts w:ascii="Times New Roman" w:hAnsi="Times New Roman"/>
          <w:sz w:val="20"/>
        </w:rPr>
        <w:t xml:space="preserve"> </w:t>
      </w:r>
      <w:r>
        <w:rPr>
          <w:rFonts w:ascii="Times New Roman" w:hAnsi="Times New Roman"/>
          <w:i/>
          <w:sz w:val="20"/>
        </w:rPr>
        <w:t>fide</w:t>
      </w:r>
      <w:r>
        <w:rPr>
          <w:rFonts w:ascii="Times New Roman" w:hAnsi="Times New Roman"/>
          <w:sz w:val="20"/>
        </w:rPr>
        <w:t xml:space="preserve"> purchaser in whose hands such Securities are valid obligations of the Company;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determining whether the Holders of the requisite principal amount of such Outstanding Securities have given any request, demand, authorization direction, notice, consent or waiver hereunder or whether a quorum is present at a meeting of Holders of such Securities, (i) the principal amount of an Original Issue Discount Security that shall be deemed to be Outstanding shall be the amount of the principal thereof that would be due and payable as of the date of such determination upon acceleration of the Stated Maturity thereof pursuant to Section 5.02, (ii) the principal amount of Securities denominated in more than one currency (including composite currencies) shall be the U.S. Dollar equivalent (determined, unless otherwise provided as contemplated by Section 3.01, on the basis of the spot rate of exchange, on the date of such determination, for any currency other than Dollars as determined by the Company or by an authorized exchange rate agent and evidenced to the Trustee by an Officers’ Certificate) of the principal amount (or, in the case of an Original Issue Discount Security, the U.S. Dollar equivalent on the date of such determination of the amount determined as provided in (i) above) of such Securities, and (iii) Securities owned by the Company or any other obligor upon the Securities or any Affiliate of the Company or such other obligor shall be disregarded and deemed not to be Outstanding, except that, in determining whether the Trustee shall be protected in relying upon any such request, demand, authorization, direction, notice, consent or waiver, or upon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 In case of a dispute as to such right, the advice of counsel shall be full protection in respect of any decision made by the Trustee in accordance with such advice. For purposes of clause (ii) above, an exchange rate agent may be authorized in advance or from time to time by the Company, and may be the Trustee. Any such determination by the Company or by any such exchange rate agent shall be conclusive and binding on all Holders of Securities and related coupons, if any, and the Trustee, and neither the Company nor such exchange rate agent shall be liable therefor in the absence of gross negligence or willful misconduct; and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means any Person (including the Company) authorized by the Company to pay the principal of (and premium, if any) or interest, if any, of any Securities on behalf of the Company.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joint venture, association,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b/>
          <w:sz w:val="20"/>
        </w:rPr>
        <w:t>Place of Payment</w:t>
      </w:r>
      <w:r>
        <w:rPr>
          <w:rFonts w:ascii="Times New Roman" w:hAnsi="Times New Roman"/>
          <w:sz w:val="20"/>
        </w:rPr>
        <w:t xml:space="preserve">”, when used with respect to any series of Securities or any coupons, means the place or places where, subject to the provisions of Section 11.02, the principal of (and premium, if any) and interest, if any, on the Securities of that series are payable as specified as contemplated by Section 3.01. </w:t>
      </w:r>
    </w:p>
    <w:p>
      <w:pPr>
        <w:pStyle w:val="TextBody"/>
        <w:bidi w:val="0"/>
        <w:spacing w:before="240" w:after="0"/>
        <w:jc w:val="left"/>
        <w:rPr/>
      </w:pPr>
      <w:r>
        <w:rPr/>
        <w:t>“</w:t>
      </w:r>
      <w:r>
        <w:rPr>
          <w:rFonts w:ascii="Times New Roman" w:hAnsi="Times New Roman"/>
          <w:b/>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the Security to which the mutilated, destroyed, lost or stolen coupon appertains, as the case may be, shall be deemed to evidence the same debt as the mutilated, destroyed, lost or stolen Security or the Security to which the mutilated, destroyed, lost or stolen coupon appertains, as the case may be. </w:t>
      </w:r>
    </w:p>
    <w:p>
      <w:pPr>
        <w:pStyle w:val="TextBody"/>
        <w:bidi w:val="0"/>
        <w:spacing w:before="240" w:after="0"/>
        <w:jc w:val="left"/>
        <w:rPr/>
      </w:pPr>
      <w:r>
        <w:rPr/>
        <w:t>“</w:t>
      </w:r>
      <w:r>
        <w:rPr>
          <w:rFonts w:ascii="Times New Roman" w:hAnsi="Times New Roman"/>
          <w:b/>
          <w:sz w:val="20"/>
        </w:rPr>
        <w:t>Principal Property</w:t>
      </w:r>
      <w:r>
        <w:rPr>
          <w:rFonts w:ascii="Times New Roman" w:hAnsi="Times New Roman"/>
          <w:sz w:val="20"/>
        </w:rPr>
        <w:t xml:space="preserve">” means (a) any manufacturing or processing plant or warehouse owned at the date hereof or hereafter acquired by the Company or any Restricted Subsidiary of the Company which is located within the United States of America and the gross book value (including related land and improvements thereon and all machinery and equipment included therein without deduction of any depreciation reserves) of which on the date as of which the determination is being made exceeds 2% of Consolidated Net Assets, other than (i) any property which in the opinion of the Board of Directors is not of material importance to the total business conducted by the Company as an entirety or (ii) any portion of a particular property which is similarly found not to be of material importance to the use or operation of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Realty Subsidiary</w:t>
      </w:r>
      <w:r>
        <w:rPr>
          <w:rFonts w:ascii="Times New Roman" w:hAnsi="Times New Roman"/>
          <w:sz w:val="20"/>
        </w:rPr>
        <w:t xml:space="preserve">” means a Subsidiary of the Company engaged primarily in the development and sale or financing of real property.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when used with respect to any Security to be redeemed, means the price at which it is to be redeemed pursuant to this Indenture or in such Security (including any premium with respect thereto). </w:t>
      </w:r>
    </w:p>
    <w:p>
      <w:pPr>
        <w:pStyle w:val="TextBody"/>
        <w:bidi w:val="0"/>
        <w:spacing w:before="240" w:after="0"/>
        <w:jc w:val="left"/>
        <w:rPr/>
      </w:pPr>
      <w:r>
        <w:rPr/>
        <w:t>“</w:t>
      </w:r>
      <w:r>
        <w:rPr>
          <w:rFonts w:ascii="Times New Roman" w:hAnsi="Times New Roman"/>
          <w:b/>
          <w:sz w:val="20"/>
        </w:rPr>
        <w:t>Registered Security</w:t>
      </w:r>
      <w:r>
        <w:rPr>
          <w:rFonts w:ascii="Times New Roman" w:hAnsi="Times New Roman"/>
          <w:sz w:val="20"/>
        </w:rPr>
        <w:t xml:space="preserve">” means any Security substantially in the form for Registered Securities set forth in Exhibit A or established pursuant to Section 2.01 which is registered in the Security Register.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for the interest payable on any Interest Payment Date on the Registered Securities of any series means the date specified for that purpose as contemplated by Section 3.01. </w:t>
      </w:r>
    </w:p>
    <w:p>
      <w:pPr>
        <w:pStyle w:val="TextBody"/>
        <w:bidi w:val="0"/>
        <w:spacing w:before="240" w:after="0"/>
        <w:jc w:val="left"/>
        <w:rPr/>
      </w:pPr>
      <w:r>
        <w:rPr/>
        <w:t>“</w:t>
      </w:r>
      <w:r>
        <w:rPr>
          <w:rFonts w:ascii="Times New Roman" w:hAnsi="Times New Roman"/>
          <w:b/>
          <w:sz w:val="20"/>
        </w:rPr>
        <w:t>Representative</w:t>
      </w:r>
      <w:r>
        <w:rPr>
          <w:rFonts w:ascii="Times New Roman" w:hAnsi="Times New Roman"/>
          <w:sz w:val="20"/>
        </w:rPr>
        <w:t xml:space="preserve">” means the indenture trustee or other trustee, agent or representative for any Senior Debt. </w:t>
      </w:r>
    </w:p>
    <w:p>
      <w:pPr>
        <w:pStyle w:val="TextBody"/>
        <w:bidi w:val="0"/>
        <w:spacing w:before="240" w:after="0"/>
        <w:jc w:val="left"/>
        <w:rPr/>
      </w:pPr>
      <w:r>
        <w:rPr/>
        <w:t>“</w:t>
      </w:r>
      <w:r>
        <w:rPr>
          <w:rFonts w:ascii="Times New Roman" w:hAnsi="Times New Roman"/>
          <w:b/>
          <w:sz w:val="20"/>
        </w:rPr>
        <w:t>Required Currency</w:t>
      </w:r>
      <w:r>
        <w:rPr>
          <w:rFonts w:ascii="Times New Roman" w:hAnsi="Times New Roman"/>
          <w:sz w:val="20"/>
        </w:rPr>
        <w:t xml:space="preserve">” has the meaning specified in Section 1.14.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when used with respect to the Trustee, means any officer within the corporate trust department of the Trustee (or any successor group of the Trustee) including any vice president, assistant vice president, assistant treasurer, assistant secretary or any other officer or assistant officer of the Trustee customarily performing functions similar to those performed by the persons who at the time shall be such officers, respectively, or to whom any corporate trust matter is referred at the Trustee’s principal Corporate Trust Office because of his knowledge of and familiarity with the particular subject and who shall have the direct responsibility for the administration of this Indenture.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xml:space="preserve">” means a Subsidiary of the Company (i) substantially all the property of which is located, or substantially all the business of which is carried on, within the United States of America and (ii) which owns a Principal Property, but does not include a Realty Subsidiary.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sz w:val="20"/>
        </w:rPr>
        <w:t>Security Register</w:t>
      </w:r>
      <w:r>
        <w:rPr>
          <w:rFonts w:ascii="Times New Roman" w:hAnsi="Times New Roman"/>
          <w:sz w:val="20"/>
        </w:rPr>
        <w:t>” and “</w:t>
      </w:r>
      <w:r>
        <w:rPr>
          <w:rFonts w:ascii="Times New Roman" w:hAnsi="Times New Roman"/>
          <w:b/>
          <w:sz w:val="20"/>
        </w:rPr>
        <w:t>Security Registrar</w:t>
      </w:r>
      <w:r>
        <w:rPr>
          <w:rFonts w:ascii="Times New Roman" w:hAnsi="Times New Roman"/>
          <w:sz w:val="20"/>
        </w:rPr>
        <w:t xml:space="preserve">” have the respective meanings specified in Section 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Senior Debt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the Company’s obligations for money borrowed including without limitation the Designated Senior Debt; </w:t>
      </w:r>
    </w:p>
    <w:p>
      <w:pPr>
        <w:pStyle w:val="TextBody"/>
        <w:bidi w:val="0"/>
        <w:spacing w:before="240" w:after="0"/>
        <w:jc w:val="left"/>
        <w:rPr>
          <w:rFonts w:ascii="Times New Roman" w:hAnsi="Times New Roman"/>
          <w:sz w:val="20"/>
        </w:rPr>
      </w:pPr>
      <w:r>
        <w:rPr>
          <w:rFonts w:ascii="Times New Roman" w:hAnsi="Times New Roman"/>
          <w:sz w:val="20"/>
        </w:rPr>
        <w:t xml:space="preserve">(2) indebtedness of the Company evidenced by bonds, debentures, notes or similar instruments; </w:t>
      </w:r>
    </w:p>
    <w:p>
      <w:pPr>
        <w:pStyle w:val="TextBody"/>
        <w:bidi w:val="0"/>
        <w:spacing w:before="240" w:after="0"/>
        <w:jc w:val="left"/>
        <w:rPr>
          <w:rFonts w:ascii="Times New Roman" w:hAnsi="Times New Roman"/>
          <w:sz w:val="20"/>
        </w:rPr>
      </w:pPr>
      <w:r>
        <w:rPr>
          <w:rFonts w:ascii="Times New Roman" w:hAnsi="Times New Roman"/>
          <w:sz w:val="20"/>
        </w:rPr>
        <w:t xml:space="preserve">(3) obligations of the Company associated with derivative products including but not limited to securities contracts, foreign currency exchange contracts, swap agreements (including interest rate and foreign exchange rate swap agreements), cap agreements, floor agreements, collar agreements, interest rate agreements, foreign exchange rate agreements, options, commodity futures contracts, commodity option contracts and similar financial instruments; and </w:t>
      </w:r>
    </w:p>
    <w:p>
      <w:pPr>
        <w:pStyle w:val="TextBody"/>
        <w:bidi w:val="0"/>
        <w:spacing w:before="240" w:after="0"/>
        <w:jc w:val="left"/>
        <w:rPr>
          <w:rFonts w:ascii="Times New Roman" w:hAnsi="Times New Roman"/>
          <w:sz w:val="20"/>
        </w:rPr>
      </w:pPr>
      <w:r>
        <w:rPr>
          <w:rFonts w:ascii="Times New Roman" w:hAnsi="Times New Roman"/>
          <w:sz w:val="20"/>
        </w:rPr>
        <w:t xml:space="preserve">(4) debt of others described in the preceding clauses that the Company has guaranteed or for which the Company is otherwise liable, </w:t>
      </w:r>
    </w:p>
    <w:p>
      <w:pPr>
        <w:pStyle w:val="TextBody"/>
        <w:bidi w:val="0"/>
        <w:spacing w:before="240" w:after="0"/>
        <w:jc w:val="left"/>
        <w:rPr>
          <w:rFonts w:ascii="Times New Roman" w:hAnsi="Times New Roman"/>
          <w:sz w:val="20"/>
        </w:rPr>
      </w:pPr>
      <w:r>
        <w:rPr>
          <w:rFonts w:ascii="Times New Roman" w:hAnsi="Times New Roman"/>
          <w:sz w:val="20"/>
        </w:rPr>
        <w:t xml:space="preserve">in each case unless, in any case, in the instrument creating or evidencing any such indebtedness or obligation, or pursuant to which the same is outstanding, it is provided that such indebtedness or obligation is not superior in right of payment to the Securities or to other debt that is </w:t>
      </w:r>
      <w:r>
        <w:rPr>
          <w:rFonts w:ascii="Times New Roman" w:hAnsi="Times New Roman"/>
          <w:i/>
          <w:sz w:val="20"/>
        </w:rPr>
        <w:t>pari passu</w:t>
      </w:r>
      <w:r>
        <w:rPr>
          <w:rFonts w:ascii="Times New Roman" w:hAnsi="Times New Roman"/>
          <w:sz w:val="20"/>
        </w:rPr>
        <w:t xml:space="preserve"> with or subordinate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preceding, Senior Debt will not include: </w:t>
      </w:r>
    </w:p>
    <w:p>
      <w:pPr>
        <w:pStyle w:val="TextBody"/>
        <w:bidi w:val="0"/>
        <w:spacing w:before="120" w:after="0"/>
        <w:jc w:val="left"/>
        <w:rPr>
          <w:rFonts w:ascii="Times New Roman" w:hAnsi="Times New Roman"/>
          <w:sz w:val="20"/>
        </w:rPr>
      </w:pPr>
      <w:r>
        <w:rPr>
          <w:rFonts w:ascii="Times New Roman" w:hAnsi="Times New Roman"/>
          <w:sz w:val="20"/>
        </w:rPr>
        <w:t xml:space="preserve">(1) any liability for federal, state, local or other taxes owed or owing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any intercompany indebtedness of the Company, any Subsidiary or any of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(3) any trade payables; or </w:t>
      </w:r>
    </w:p>
    <w:p>
      <w:pPr>
        <w:pStyle w:val="TextBody"/>
        <w:bidi w:val="0"/>
        <w:spacing w:before="240" w:after="0"/>
        <w:jc w:val="left"/>
        <w:rPr>
          <w:rFonts w:ascii="Times New Roman" w:hAnsi="Times New Roman"/>
          <w:sz w:val="20"/>
        </w:rPr>
      </w:pPr>
      <w:r>
        <w:rPr>
          <w:rFonts w:ascii="Times New Roman" w:hAnsi="Times New Roman"/>
          <w:sz w:val="20"/>
        </w:rPr>
        <w:t xml:space="preserve">(4) indebtedness which is classified as non-recourse in accordance with GAAP or any unsecured claim arising in respect thereof by reason of the application of section 1111(b)(1) of the Bankruptcy Reform Act of 1978, as amended. </w:t>
      </w:r>
    </w:p>
    <w:p>
      <w:pPr>
        <w:pStyle w:val="TextBody"/>
        <w:bidi w:val="0"/>
        <w:spacing w:before="240" w:after="0"/>
        <w:jc w:val="left"/>
        <w:rPr/>
      </w:pPr>
      <w:r>
        <w:rPr/>
        <w:t>“</w:t>
      </w:r>
      <w:r>
        <w:rPr>
          <w:rFonts w:ascii="Times New Roman" w:hAnsi="Times New Roman"/>
          <w:b/>
          <w:sz w:val="20"/>
        </w:rPr>
        <w:t>Special Record Date</w:t>
      </w:r>
      <w:r>
        <w:rPr>
          <w:rFonts w:ascii="Times New Roman" w:hAnsi="Times New Roman"/>
          <w:sz w:val="20"/>
        </w:rPr>
        <w:t xml:space="preserve">” for the payment of any Defaulted Interest on the Registered Securities of any series means a date fixed by the Trustee pursuant to Section 3.07. </w:t>
      </w:r>
    </w:p>
    <w:p>
      <w:pPr>
        <w:pStyle w:val="TextBody"/>
        <w:bidi w:val="0"/>
        <w:spacing w:before="240" w:after="0"/>
        <w:jc w:val="left"/>
        <w:rPr/>
      </w:pPr>
      <w:r>
        <w:rPr/>
        <w:t>“</w:t>
      </w:r>
      <w:r>
        <w:rPr>
          <w:rFonts w:ascii="Times New Roman" w:hAnsi="Times New Roman"/>
          <w:b/>
          <w:sz w:val="20"/>
        </w:rPr>
        <w:t>Stated Maturity</w:t>
      </w:r>
      <w:r>
        <w:rPr>
          <w:rFonts w:ascii="Times New Roman" w:hAnsi="Times New Roman"/>
          <w:sz w:val="20"/>
        </w:rPr>
        <w:t xml:space="preserve">”,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any corporation more than 50% of the outstanding Voting Stock of which at the time of determination is owned, directly or indirectly, by the Company and/or one or more other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Trustee</w:t>
      </w:r>
      <w:r>
        <w:rPr>
          <w:rFonts w:ascii="Times New Roman" w:hAnsi="Times New Roman"/>
          <w:sz w:val="20"/>
        </w:rPr>
        <w:t>” means the Person named as the “</w:t>
      </w:r>
      <w:r>
        <w:rPr>
          <w:rFonts w:ascii="Times New Roman" w:hAnsi="Times New Roman"/>
          <w:b/>
          <w:sz w:val="20"/>
        </w:rPr>
        <w:t>Trustee</w:t>
      </w:r>
      <w:r>
        <w:rPr>
          <w:rFonts w:ascii="Times New Roman" w:hAnsi="Times New Roman"/>
          <w:sz w:val="20"/>
        </w:rPr>
        <w:t>” in the first paragraph of this instrument until a successor trustee shall have become such pursuant to the applicable provisions of this Indenture, and thereafter “</w:t>
      </w:r>
      <w:r>
        <w:rPr>
          <w:rFonts w:ascii="Times New Roman" w:hAnsi="Times New Roman"/>
          <w:b/>
          <w:sz w:val="20"/>
        </w:rPr>
        <w:t>Trustee</w:t>
      </w:r>
      <w:r>
        <w:rPr>
          <w:rFonts w:ascii="Times New Roman" w:hAnsi="Times New Roman"/>
          <w:sz w:val="20"/>
        </w:rPr>
        <w:t>” shall mean or include each Person who is then a Trustee hereunder, and if at any time there is more than one such Person, “</w:t>
      </w:r>
      <w:r>
        <w:rPr>
          <w:rFonts w:ascii="Times New Roman" w:hAnsi="Times New Roman"/>
          <w:b/>
          <w:sz w:val="20"/>
        </w:rPr>
        <w:t>Trustee</w:t>
      </w:r>
      <w:r>
        <w:rPr>
          <w:rFonts w:ascii="Times New Roman" w:hAnsi="Times New Roman"/>
          <w:sz w:val="20"/>
        </w:rPr>
        <w:t xml:space="preserv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Trust Indenture Act of 1939, as amended, and as it may be further amended from time to time.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xml:space="preserve">” means the United States of America (including the States and the District of Columbia), its territories and possessions and other areas subject to its jurisdiction. </w:t>
      </w:r>
    </w:p>
    <w:p>
      <w:pPr>
        <w:pStyle w:val="TextBody"/>
        <w:bidi w:val="0"/>
        <w:spacing w:before="240" w:after="0"/>
        <w:jc w:val="left"/>
        <w:rPr/>
      </w:pPr>
      <w:r>
        <w:rPr/>
        <w:t>“</w:t>
      </w:r>
      <w:r>
        <w:rPr>
          <w:rFonts w:ascii="Times New Roman" w:hAnsi="Times New Roman"/>
          <w:b/>
          <w:sz w:val="20"/>
        </w:rPr>
        <w:t>United States Alien</w:t>
      </w:r>
      <w:r>
        <w:rPr>
          <w:rFonts w:ascii="Times New Roman" w:hAnsi="Times New Roman"/>
          <w:sz w:val="20"/>
        </w:rPr>
        <w:t xml:space="preserve">”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non-resident alien fiduciary of a foreign estate or trust. </w:t>
      </w:r>
    </w:p>
    <w:p>
      <w:pPr>
        <w:pStyle w:val="TextBody"/>
        <w:bidi w:val="0"/>
        <w:spacing w:before="240" w:after="0"/>
        <w:jc w:val="left"/>
        <w:rPr/>
      </w:pPr>
      <w:r>
        <w:rPr/>
        <w:t>“</w:t>
      </w:r>
      <w:r>
        <w:rPr>
          <w:rFonts w:ascii="Times New Roman" w:hAnsi="Times New Roman"/>
          <w:b/>
          <w:sz w:val="20"/>
        </w:rPr>
        <w:t>U.S. Government Obligations</w:t>
      </w:r>
      <w:r>
        <w:rPr>
          <w:rFonts w:ascii="Times New Roman" w:hAnsi="Times New Roman"/>
          <w:sz w:val="20"/>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such obligation evidenced by such depository receipt or a specific payment of interest on or principal of any such obligation held by such custodian for the account of the holder of a depository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depository receipt from any amount received by the custodian in respect of the obligation set forth in (i) or (ii) above or the specific payment of interest on or principal of such obligation evidenced by such depository receipt.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means Capital Stock of a corporation of the class or classes having general voting power under ordinary circumstances to elect at least a majority of the board of directors, managers or trustees of such corporation (irrespective of whether or not at the time stock of any other class or classes shall have or might have voting power upon the occurrence of any contingency).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Compliance Certificates and Opinions</w:t>
      </w:r>
      <w:r>
        <w:rPr>
          <w:rFonts w:ascii="Times New Roman" w:hAnsi="Times New Roman"/>
          <w:sz w:val="20"/>
        </w:rPr>
        <w:t xml:space="preserve">.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each individual signing such certificate or opinion has read such condition or covenant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each such individual, he has made such examination or investigation as is necessary to enable him to express an informed opinion as to whether or not such condition or covenant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each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Form of Documents Delivered to Trustee</w:t>
      </w:r>
      <w:r>
        <w:rPr>
          <w:rFonts w:ascii="Times New Roman" w:hAnsi="Times New Roman"/>
          <w:sz w:val="20"/>
        </w:rPr>
        <w:t xml:space="preserv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may be based, insofar as it relates to legal matters, upon an Opinion of Counsel or a certificate, or representations by, counsel, unless such officer knows, or in the exercise of reasonable care should know, that the certificate or opinion or representations with respect to the matters upon which his certificate or opinion is based are erroneous. </w:t>
      </w:r>
    </w:p>
    <w:p>
      <w:pPr>
        <w:pStyle w:val="TextBody"/>
        <w:bidi w:val="0"/>
        <w:spacing w:before="240" w:after="0"/>
        <w:jc w:val="left"/>
        <w:rPr>
          <w:rFonts w:ascii="Times New Roman" w:hAnsi="Times New Roman"/>
          <w:sz w:val="20"/>
        </w:rPr>
      </w:pPr>
      <w:r>
        <w:rPr>
          <w:rFonts w:ascii="Times New Roman" w:hAnsi="Times New Roman"/>
          <w:sz w:val="20"/>
        </w:rPr>
        <w:t xml:space="preserve">Any such certificate or Opinion of Counsel or representations may be based, insofar as it relates to factual matters, upon a certificate or opinion of, or representations by, an Authorized Officer or Authorized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Acts of Holders</w:t>
      </w:r>
      <w:r>
        <w:rPr>
          <w:rFonts w:ascii="Times New Roman" w:hAnsi="Times New Roman"/>
          <w:sz w:val="20"/>
        </w:rPr>
        <w:t>.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If Securities of a series are issuable as Bearer Securities or Bearer Securities and Registered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14,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w:t>
      </w:r>
      <w:r>
        <w:rPr>
          <w:rFonts w:ascii="Times New Roman" w:hAnsi="Times New Roman"/>
          <w:b/>
          <w:sz w:val="20"/>
        </w:rPr>
        <w:t>Act</w:t>
      </w:r>
      <w:r>
        <w:rPr>
          <w:rFonts w:ascii="Times New Roman" w:hAnsi="Times New Roman"/>
          <w:sz w:val="20"/>
        </w:rPr>
        <w:t xml:space="preserve">” of the Holders signing such instrument or instruments or so voting at any such meeting. Proof of execution of any such instrument or of a writing appointing any such agent or proxy, or of the holding by any Person of a Security, shall be sufficient for any purpose of this Indenture and (subject to Section 6.01) conclusive in favor of the Trustee and the Company and any agent of the Trustee or the Company, if made in the manner provided in this Section. The record of any meeting of Holders of Securities shall be proved in the manner provided in Section 14.06. </w:t>
      </w:r>
    </w:p>
    <w:p>
      <w:pPr>
        <w:pStyle w:val="TextBody"/>
        <w:bidi w:val="0"/>
        <w:spacing w:before="240" w:after="0"/>
        <w:jc w:val="left"/>
        <w:rPr>
          <w:rFonts w:ascii="Times New Roman" w:hAnsi="Times New Roman"/>
          <w:sz w:val="20"/>
        </w:rPr>
      </w:pPr>
      <w:r>
        <w:rPr>
          <w:rFonts w:ascii="Times New Roman" w:hAnsi="Times New Roman"/>
          <w:sz w:val="20"/>
        </w:rPr>
        <w:t xml:space="preserve">(a) The fact and date of the execution by any Person of any such instrument or writing may be proved by the affidavit of a witness of such execution or by a certificate of any notary public or other officer authorized by law to take acknowledgments of deeds, certifying that the individual signing such instrument or writing acknowledged to him the execution thereof. Where such execution is by an officer of a corporation or association or a member of a partnership, or an official of a public or governmental body, on behalf of such corporation, association, partnership or public or governmental body or by a fiduciary, such certificate or affidavit shall also constitute sufficient proof of his authority. The fact and date of the execution by any Person of any such instrument or writing, or the authority of the Person executing the same, may also be proved in any other manner which shall be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principal amount and serial numbers of Registered Securities held by any Person, and the date of holding the same, shall be proved by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(c) The ownership of Registered Securities shall be proved by the Security Register. As to any matter relating to beneficial ownership interests in any Global Security, the appropriate depository’s records shall be dispositive for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principal amount and serial numbers of Bearer Securities held by any Person, and the date of holding the same, may be proved by the production of such Bearer Securities or by a certificate executed, by any trust company, bank, banker or other depositary, as depositary, wherever situated, if such certificate shall be satisfactory to the Trustee, showing that at the date therein mentioned such Person had on deposit with such depositary, or exhibited to it, the Bearer Securities therein described;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facts may be proved by the certificate or affidavit of the Person holding such Bearer Securities, if such certificate or affidavit shall be satisfactory to the Trustee. The Trustee and the Company may assume that such ownership of any Bearer Security continues until (i) another certificate or affidavit bearing a later date issued in respect of the same Bearer Security is produced, or (ii) such Bearer Security is produced to the Trustee by some other Person, or (iii) such Bearer Security is surrendered in exchange for a Registered Security, or (iv) such Bearer Security is no longer Outstanding. The principal amount and serial numbers of Bearer Securities held by any Person, and the date of holding the same, may also be proved in any other manner which shall be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(e) 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or suffered to be done by the Trustee or the Company in reliance thereon, whether or not notation of such action is made upon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Securities of any Series, upon receipt by the Trustee of (i) any written notice directing the time, method or place of conducting any proceeding or exercising any trust or power pursuant to Section 5.12 with respect to Securities of such series or (ii) any written demand, request or notice with respect to any matter of which the Holders of Securities of such series are entitled to act under this Indenture, in each case from Holders of less than, or proxies representing less than, the requisite principal amount of Outstanding Securities of such series entitled to give such demand, request or notice, the Trustee shall promptly notify the Company in writing that it has received such demand, request or notice, and the Company shall establish a record date for determining Holders of Outstanding Securities of such series entitled to join in such demand, request or notice, which record date shall be the close of business on the day the Trustee received such demand, request or notice. The Holders on such record date, or their duly designated proxies, and only such Persons, shall be entitled to join in such demand, request or notice whether or not such Holders remain Holders after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the Holders of the requisite principal amount of Outstanding Securities of such series shall have joined in such demand, request or notice prior to the day which is the ninetieth day after such record date, such demand, request or notice shall automatically and without further action by any Holder be canceled and of no further effect. Nothing in this paragraph shall prevent a Holder, or a proxy of a Holder, from giving, (i) after the expiration of such 90-day period, a new demand, request or notice identical to a demand, request or notice which has been cancelled pursuant to the proviso to the preceding sentence or (ii) during any such 90-day period, a new demand, request or notice which has been cancelled pursuant to the proviso to the preceding sentence or (iii) during any such 90-day period, a new demand, request or notice contrary to or different from such demand, request or notice, in any of which events a new record date shall be established pursuant to the provisions of this clause.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may set any day as the record date for the purpose of determining the Holders of Outstanding Securities of any series entitled to give or take any request, demand, authorization, direction, notice, consent, waiver or other action provided or permitted by this Indenture to be given or taken by Holders of Securities of such series. With regard to any record date set pursuant to this paragraph, the Holders of Outstanding Securities of the relevant series on such record date (or their duly appointed agents), and only such Persons, shall be entitled to give or take the relevant action, whether or not such Holders remain Holders after such record date. With regard to any action that may be given or taken hereunder only by Holders of a requisite principal amount of Outstanding Securities of any series (or their duly appointed agents) and for which a record date is set pursuant to this paragraph, the Company may, at its option, set an expiration date after which no such action purported to be given or taken by any Holder shall be effective hereunder unless given or taken on or prior to such expiration date by Holders of the requisite principal amount of Outstanding Securities of such series on such date (or their duly appointed agents). On or prior to any expiration date set pursuant to this paragraph, the Company may, on one or more occasions at its option, extend such date to any later date. Nothing in this paragraph shall prevent any Holder (or any duly appointed agent thereof) from giving or taking, after any expiration date, any action identical to, or, at any time, contrary to or different from, any action, given or taken, or purported to have been given or taken, hereunder by a Holder on or prior to such date, in which event the Company may set a record date in respect thereof pursuant to this paragraph. Notwithstanding the foregoing or the Trust Indenture Act, the Company shall not set a record date for, and the provisions of this paragraph shall not apply with respect to, any action to be given or taken by Holders pursuant to Section 5.01, 5.02 or 5.12.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Notices, Etc., to Trustee and Company</w:t>
      </w:r>
      <w:r>
        <w:rPr>
          <w:rFonts w:ascii="Times New Roman" w:hAnsi="Times New Roman"/>
          <w:sz w:val="20"/>
        </w:rPr>
        <w:t xml:space="preserve">. Any request, demand, authorization, direction, notice, consent, waiver or Act of Holders or other document provided or permitted by this Indenture to be made upon, given or furnished to, or filed with, </w:t>
      </w:r>
    </w:p>
    <w:p>
      <w:pPr>
        <w:pStyle w:val="TextBody"/>
        <w:bidi w:val="0"/>
        <w:spacing w:before="240" w:after="0"/>
        <w:jc w:val="left"/>
        <w:rPr>
          <w:rFonts w:ascii="Times New Roman" w:hAnsi="Times New Roman"/>
          <w:sz w:val="20"/>
        </w:rPr>
      </w:pPr>
      <w:r>
        <w:rPr>
          <w:rFonts w:ascii="Times New Roman" w:hAnsi="Times New Roman"/>
          <w:sz w:val="20"/>
        </w:rPr>
        <w:t xml:space="preserve">(a) the Trustee by any Holder or by the Company shall be sufficient for every purpose hereunder if made, given, furnished or filed in writing to or with the Trustee at its Corporate Trust Office; or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to the attention of the Corporate Secretary or at any other address previously furnished in writing to the Trustee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instrument will be considered properly given if submitted by electronic transmission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Trustee agrees to accept and act upon instructions or directions pursuant to this Indenture sent by unsecured e-mail, facsimile transmission or other similar unsecured electronic methods;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directions. If the party elects to give the Trustee e-mail or facsimile instructions (or instructions by a similar electronic method) and the Trustee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i/>
          <w:sz w:val="20"/>
        </w:rPr>
        <w:t>Notice to Holders; Waiver</w:t>
      </w:r>
      <w:r>
        <w:rPr>
          <w:rFonts w:ascii="Times New Roman" w:hAnsi="Times New Roman"/>
          <w:sz w:val="20"/>
        </w:rPr>
        <w:t xml:space="preserve">. Except as otherwise expressly provided herein, where this Indenture provides for notice to Holders of any event, </w:t>
      </w:r>
    </w:p>
    <w:p>
      <w:pPr>
        <w:pStyle w:val="TextBody"/>
        <w:bidi w:val="0"/>
        <w:spacing w:before="240" w:after="0"/>
        <w:jc w:val="left"/>
        <w:rPr>
          <w:rFonts w:ascii="Times New Roman" w:hAnsi="Times New Roman"/>
          <w:sz w:val="20"/>
        </w:rPr>
      </w:pPr>
      <w:r>
        <w:rPr>
          <w:rFonts w:ascii="Times New Roman" w:hAnsi="Times New Roman"/>
          <w:sz w:val="20"/>
        </w:rPr>
        <w:t xml:space="preserve">(a) such notice shall be sufficiently given to Holders of Registered Securities if in writing and mailed, first-class postage prepaid, to each Holder of a Registered Security affected by such event, at his address as it appears in the Security Register, not later than the latest date, and not earlier than the earliest date,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(b) such notice shall be sufficiently given to Holders of Bearer Securities if published in an Authorized Newspaper in the City of New York and in such other city or cities as may be specified in such Securities on a Business Day at least once, the first such publication to be not earlier than the earliest date, and not later than the latest date,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If, by reason of the suspension of regular mail service, it shall be impracticable to mail notice of any event to Holders of Registered Securities when such notice is required to be given pursuant to any provision of this Indenture, then such manner of giving such notice as shall be acceptable to the Trustee shall constitute sufficient giving of such notice.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with respect to Holders of Bearer Securities given as provided herein. Any notice mailed to a Holder in the manner herein prescribed shall be conclusively deemed to have been received by such Holder, whether or not such Holder actually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in a manner satisfactory to the Trustee shall constitute sufficient notice to such 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i/>
          <w:sz w:val="20"/>
        </w:rPr>
        <w:t>Language of Notices, Etc</w:t>
      </w:r>
      <w:r>
        <w:rPr>
          <w:rFonts w:ascii="Times New Roman" w:hAnsi="Times New Roman"/>
          <w:sz w:val="20"/>
        </w:rPr>
        <w:t xml:space="preserve">. Any request, demand, authorization, direction, notice, consent, waiver, Act of Holders or other document required or permitted under this Indenture shall be in the English language, except that any published notice may be in an official language of the country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i/>
          <w:sz w:val="20"/>
        </w:rPr>
        <w:t>Conflict with Trust Indenture Act</w:t>
      </w:r>
      <w:r>
        <w:rPr>
          <w:rFonts w:ascii="Times New Roman" w:hAnsi="Times New Roman"/>
          <w:sz w:val="20"/>
        </w:rPr>
        <w:t xml:space="preserve">. If any provision hereof limits, qualifies or conflicts with another provision hereof which is required to be included in this Indenture by any of the provisions of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i/>
          <w:sz w:val="20"/>
        </w:rPr>
        <w:t>Effect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i/>
          <w:sz w:val="20"/>
        </w:rPr>
        <w:t>Successors and Assigns</w:t>
      </w:r>
      <w:r>
        <w:rPr>
          <w:rFonts w:ascii="Times New Roman" w:hAnsi="Times New Roman"/>
          <w:sz w:val="20"/>
        </w:rPr>
        <w:t xml:space="preserve">. All covenants and agreements in this Indenture by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i/>
          <w:sz w:val="20"/>
        </w:rPr>
        <w:t>Separability Clause</w:t>
      </w:r>
      <w:r>
        <w:rPr>
          <w:rFonts w:ascii="Times New Roman" w:hAnsi="Times New Roman"/>
          <w:sz w:val="20"/>
        </w:rPr>
        <w:t xml:space="preserve">. In case any provision in this Indenture or the Securities or coupons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i/>
          <w:sz w:val="20"/>
        </w:rPr>
        <w:t>Benefits of Indenture</w:t>
      </w:r>
      <w:r>
        <w:rPr>
          <w:rFonts w:ascii="Times New Roman" w:hAnsi="Times New Roman"/>
          <w:sz w:val="20"/>
        </w:rPr>
        <w:t xml:space="preserve">. Nothing in this Indenture or the Securities or coupons, expressed or implied, shall give to any Person, other than the parties hereto, their successors hereunder and the Holders of Securities or coupons,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i/>
          <w:sz w:val="20"/>
        </w:rPr>
        <w:t>Governing Law</w:t>
      </w:r>
      <w:r>
        <w:rPr>
          <w:rFonts w:ascii="Times New Roman" w:hAnsi="Times New Roman"/>
          <w:sz w:val="20"/>
        </w:rPr>
        <w:t xml:space="preserve">. This Indenture and the Securities and any coupons shall be governed by and construed in accordance with the laws of the State of New York without giving effect to the conflicts of laws provisions thereof. EACH OF THE COMPANY, THE HOLDERS AND THE TRUSTEE HEREBY IRREVOCABLY WAIVES, TO THE FULLEST EXTENT PERMITTED BY APPLICABLE LAW, ANY AND ALL RIGHT TO TRIAL BY JURY IN ANY LEGAL PROCEEDING ARISING OUT OF OR RELATING TO THIS INDENTURE, THE SECURITIES OR THE TRANSACTION CONTEMPLATED HEREBY. 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“Specified Courts”), and each party irrevocably submits to the non-exclusive jurisdiction of such courts in any such suit, action or proceeding.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process, summons, notice or document by mail (to the extent allowed under any applicable statute or rule of court) to such party’s address set forth herein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i/>
          <w:sz w:val="20"/>
        </w:rPr>
        <w:t>Legal Holidays</w:t>
      </w:r>
      <w:r>
        <w:rPr>
          <w:rFonts w:ascii="Times New Roman" w:hAnsi="Times New Roman"/>
          <w:sz w:val="20"/>
        </w:rPr>
        <w:t xml:space="preserve">. In any case where any Interest Payment Date, Redemption Date, sinking fund payment date or Stated Maturity or Maturity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principal (and premium, if any) or interest, if any, need not be made at such Place of Payment on such date, but may be made on the next succeeding Business Day at such Place of Payment with the same force and effect as if made on the Interest Payment Date or Redemption Date, or at the Stated Maturity or Maturity, </w:t>
      </w:r>
      <w:r>
        <w:rPr>
          <w:rFonts w:ascii="Times New Roman" w:hAnsi="Times New Roman"/>
          <w:i/>
          <w:sz w:val="20"/>
        </w:rPr>
        <w:t>provided</w:t>
      </w:r>
      <w:r>
        <w:rPr>
          <w:rFonts w:ascii="Times New Roman" w:hAnsi="Times New Roman"/>
          <w:sz w:val="20"/>
        </w:rPr>
        <w:t xml:space="preserve"> that no interest shall accrue on the amount so payable for the period from and after such Interest Payment Date, Redemption Date, Stated Maturity or Maturity, as the case may be to such succeeding business day. </w:t>
      </w:r>
      <w:r>
        <w:rPr>
          <w:rFonts w:ascii="Times New Roman" w:hAnsi="Times New Roman"/>
          <w:i/>
          <w:sz w:val="20"/>
        </w:rPr>
        <w:t>Judgment Currency</w:t>
      </w:r>
      <w:r>
        <w:rPr>
          <w:rFonts w:ascii="Times New Roman" w:hAnsi="Times New Roman"/>
          <w:sz w:val="20"/>
        </w:rPr>
        <w:t>. The Company agrees, to the fullest extent that it may effectively do so under applicable law, that (a) if for the purpose of obtaining judgment in any court it is necessary to convert the sum due on the Securities of any series from the currency in which such sum is payable in accordance with the terms of such Securities (the “</w:t>
      </w:r>
      <w:r>
        <w:rPr>
          <w:rFonts w:ascii="Times New Roman" w:hAnsi="Times New Roman"/>
          <w:b/>
          <w:sz w:val="20"/>
        </w:rPr>
        <w:t>Required Currency</w:t>
      </w:r>
      <w:r>
        <w:rPr>
          <w:rFonts w:ascii="Times New Roman" w:hAnsi="Times New Roman"/>
          <w:sz w:val="20"/>
        </w:rPr>
        <w:t>”) into a currency in which a judgment will be rendered (the “</w:t>
      </w:r>
      <w:r>
        <w:rPr>
          <w:rFonts w:ascii="Times New Roman" w:hAnsi="Times New Roman"/>
          <w:b/>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New York Business Day preceding that on which a final unappealable judgment is rendered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i/>
          <w:sz w:val="20"/>
        </w:rPr>
        <w:t>Immunity of Incorporators, Shareholders, Officers, Directors and Employees</w:t>
      </w:r>
      <w:r>
        <w:rPr>
          <w:rFonts w:ascii="Times New Roman" w:hAnsi="Times New Roman"/>
          <w:sz w:val="20"/>
        </w:rPr>
        <w:t xml:space="preserve">. (a) No recourse under or upon any obligation, covenant or agreement of this Indenture, or of any Security, or for any claim based thereon or otherwise in respect thereof, shall be had against any incorporator, shareholder, officer, director or employee, as such, past, present or future, of the Company or of any successor corporation, either directly or through the Company, whether by virtue of any constitution, statute or rule of law, or by the enforcement of any assessment or penalty or otherwise; it being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understood that this Indenture and the obligations issued hereunder are solely corporate obligations of the Company, and that no such personal liability whatever shall attach to, or is or shall be incurred by, the incorporators, shareholders, officers, directors or employees, as such, of the Company or of any successor corporation, or any of them, because of the creation of the indebtedness hereby authorized, or under or by reason of the obligations or agreements contained in this Indenture or in any of the Securities or implied therefrom; and that any and all such personal liability, either at common law or in equity or by constitution or statute, of, and any and all such rights and claims against, every such incorporator, shareholder, officer, director or employee, as such, because of the creation of the indebtedness hereby authorized, or under or by reason of the obligations or agreements contained in this Indenture or in any of the Securities or implied therefrom, are hereby expressly waived and released as a condition of, and as a consideration for, the execution of this Indenture and the issue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All payments of interest and other amounts, if any, to be made by the Trustee hereunder shall be made only from the money deposited with the Trustee and only to the extent that the Trustee shall have sufficient income or proceeds to make such payments in accordance with the terms of this Indenture, and each Holder hereof, by its acceptance of a Security, agrees that it will look solely to the income and proceeds deposited by the Company with the Trustee to the extent available for distribution to the Holder thereof as provided and that the Trustee is not personally liable in any manner to the Holder hereof for any amounts payable or any liability under this Indenture of any Security.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SECURITY FORMS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Forms Generally</w:t>
      </w:r>
      <w:r>
        <w:rPr>
          <w:rFonts w:ascii="Times New Roman" w:hAnsi="Times New Roman"/>
          <w:sz w:val="20"/>
        </w:rPr>
        <w:t xml:space="preserve">. The Registered Securities, if any, of each series and the Bearer Securities, if any, of each series and related coupons, if any, shall be in substantially the form set forth in Exhibit A and Exhibit B to this Indenture, respectively, or in such other form (including temporary or permanent global form) as shall be established in one or more indentures supplemental hereto or approved from time to time by or pursuant to a Board Resolution in accordance with Section 3.01,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coupons, if any, as evidenced by their execution of the Securities and coupons, if any. If the forms of Securities and coupons, if any, of any series (or the form of any such temporary or permanent global Security) are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or coupons (or any such temporary or permanent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provided as contemplated by Section 3.01 with respect to any series of Securities, the Securities of each series shall be issuable in registered form without coupons. If so provided as contemplated by Section 3.01, the Securities of a series also shall be issuable in bearer form, with interest coupons, if any, attached.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Securities and coupons, if any, shall be printed, lithographed or engraved or produced by any combination of these methods on steel engraved borders or may be produced in any other manner permitted by the rules of any securities exchange on which the Securities may be listed, all as determined by the officers executing such Securities and coupons, if any, as evidenced by their execution of such Securities and coupons,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Form of Trustee</w:t>
      </w:r>
      <w:r>
        <w:rPr>
          <w:rFonts w:ascii="Times New Roman" w:hAnsi="Times New Roman"/>
          <w:sz w:val="20"/>
        </w:rPr>
        <w:t>’</w:t>
      </w:r>
      <w:r>
        <w:rPr>
          <w:rFonts w:ascii="Times New Roman" w:hAnsi="Times New Roman"/>
          <w:i/>
          <w:sz w:val="20"/>
        </w:rPr>
        <w:t>s Certificate of Authentication</w:t>
      </w:r>
      <w:r>
        <w:rPr>
          <w:rFonts w:ascii="Times New Roman" w:hAnsi="Times New Roman"/>
          <w:sz w:val="20"/>
        </w:rPr>
        <w:t xml:space="preserve">. The Trustee’s certificate of authentication shall be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herein referred to in the within 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Securities in Global Form</w:t>
      </w:r>
      <w:r>
        <w:rPr>
          <w:rFonts w:ascii="Times New Roman" w:hAnsi="Times New Roman"/>
          <w:sz w:val="20"/>
        </w:rPr>
        <w:t xml:space="preserve">. If Securities of a series are issuable in global form, as specified as contemplated by Section 3.01, then, notwithstanding clause (h)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decrease in the amount, of Outstanding Securities represented thereby shall be made by the Trustee or the Security Registrar in such manner and upon written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written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in the form of an Officers’ Certificate upon which the Trustee may conclusively rely, and which need not be accompanied by an Opinion of Counsel, with regard to the reduction in the principal amount of Securities represented thereby, together with the Officers’ Certificate contemplated by the last sentence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Sections 2.01 and 3.07, payment of principal of (and premium, if any) and interest, if any, on any Security in permanent global form shall be made to the Person in whose name such Security is registered in the Trustee’s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3.08, Company, the Trustee and any agent of the Company and the Trustee shall treat as the Holder a Person in whose name such Security is registered in the Trustee’s Security Register or, in the case of a permanent global Security in bearer form, a Person specified in a written statement of Euroclear or Clearstream, which is produced to the Trustee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Form of Legend for Book-Entry Securities</w:t>
      </w:r>
      <w:r>
        <w:rPr>
          <w:rFonts w:ascii="Times New Roman" w:hAnsi="Times New Roman"/>
          <w:sz w:val="20"/>
        </w:rPr>
        <w:t xml:space="preserve">. Any Book-Entry Security authenticated and delivered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If a Book-Entry Security – “This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Amount Unlimited; Issuable in Series.</w:t>
      </w:r>
      <w:r>
        <w:rPr>
          <w:rFonts w:ascii="Times New Roman" w:hAnsi="Times New Roman"/>
          <w:sz w:val="20"/>
        </w:rPr>
        <w:t xml:space="preserve"> The aggregate principal amount of Securities which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There shall be established in one or pursuant to a Board Resolutions, and, subject to Section 3.03, set forth in an Officers’ Certificate, or established in one or more indentures supplemental hereto, prior to the issuance of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(a) the title of the Securities of the series (which shall distinguish the Securities of the series from all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(b) whether the Securities of such series will be secured or unsecured, and if secured, a description of the collateral and terms related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3.04, 3.05, 3.06, 9.06 or 12.07 and except for any Securities which, pursuant to Section 3.03 are deemed never to have been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date or dates, or the method by which such date or dates will be determined or extended,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(e) the rate or rates (which may be fixed or floating) at which the Securities of the series shall bear interest, if any, the date or dates from which such interest shall accrue, the Interest Payment Dates on which such interest shall be payable and the Regular Record Date for the interest payable on Registered Securities on any Interest Payment Date or the formula or method by which such rate or rates, or date or dates may be determined; </w:t>
      </w:r>
    </w:p>
    <w:p>
      <w:pPr>
        <w:pStyle w:val="TextBody"/>
        <w:bidi w:val="0"/>
        <w:spacing w:before="240" w:after="0"/>
        <w:jc w:val="left"/>
        <w:rPr>
          <w:rFonts w:ascii="Times New Roman" w:hAnsi="Times New Roman"/>
          <w:sz w:val="20"/>
        </w:rPr>
      </w:pPr>
      <w:r>
        <w:rPr>
          <w:rFonts w:ascii="Times New Roman" w:hAnsi="Times New Roman"/>
          <w:sz w:val="20"/>
        </w:rPr>
        <w:t xml:space="preserve">(f) the place or places where, subject to the provisions of Section 11.02, the principal of (and premium, if any) and interest, if any, on Securities of the series shall be payable, any Registered Securities of the series may be surrendered for registration of transfer, Securities of the series may be surrendered for exchange and notices and demands to or upon the Company in respect of the Securities of the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(g) the period or periods within which, the price or prices at which and the terms and conditions upon which Securities of the series may be redeemed, in whole or in part, at the option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(i) 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 </w:t>
      </w:r>
    </w:p>
    <w:p>
      <w:pPr>
        <w:pStyle w:val="TextBody"/>
        <w:bidi w:val="0"/>
        <w:spacing w:before="240" w:after="0"/>
        <w:jc w:val="left"/>
        <w:rPr>
          <w:rFonts w:ascii="Times New Roman" w:hAnsi="Times New Roman"/>
          <w:sz w:val="20"/>
        </w:rPr>
      </w:pPr>
      <w:r>
        <w:rPr>
          <w:rFonts w:ascii="Times New Roman" w:hAnsi="Times New Roman"/>
          <w:sz w:val="20"/>
        </w:rPr>
        <w:t xml:space="preserve">(j) if other than the principal amount thereof, the portion of the principal amount of Securities of the series which shall be payable upon declaration of acceleration of the Stated Maturity thereof pursuant to Section 5.02; </w:t>
      </w:r>
    </w:p>
    <w:p>
      <w:pPr>
        <w:pStyle w:val="TextBody"/>
        <w:bidi w:val="0"/>
        <w:spacing w:before="240" w:after="0"/>
        <w:jc w:val="left"/>
        <w:rPr>
          <w:rFonts w:ascii="Times New Roman" w:hAnsi="Times New Roman"/>
          <w:sz w:val="20"/>
        </w:rPr>
      </w:pPr>
      <w:r>
        <w:rPr>
          <w:rFonts w:ascii="Times New Roman" w:hAnsi="Times New Roman"/>
          <w:sz w:val="20"/>
        </w:rPr>
        <w:t xml:space="preserve">(k) any paying agents, transfer agents, registrars or any other agents with respect to the Securities of the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currency or currencies, including composite currencies, in which payment of the principal of (and premium, if any) and interest, if any, on such Securities shall be payable if other than the currency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(m) if the principal of (and premium, if any), or interest, if any, on such Securities are to be payable, at the election of the Company or any Holder thereof, in a coin or currency or currencies, including composite currencies, other than that or those in which such Securities are stated to be payable, the coin or currency or currencies, including composite currencies, in which payment of the principal of (and premium, if any), or interest, if any, on Securities of such series as to which such election is made shall be payable, and the period or periods within which, and the terms and conditions upon which, such election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(n) if such Securities are to be denominated in more than one currency, including composite currencies, the basis of determining the equivalent price in the currency of the United States (if other than as set forth in the definition of Outstanding) for purposes of determining the voting rights of Holders of such Securities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(o) if the amount of payments of principal of (and premium, if any), or portions thereof, or interest, if any, on such Securities may be determined with reference to an index, formula or other method,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(p) whether Securities of the series are to be issuable as Registered Securities, Bearer Securities or both,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w:t>
      </w:r>
    </w:p>
    <w:p>
      <w:pPr>
        <w:pStyle w:val="TextBody"/>
        <w:bidi w:val="0"/>
        <w:spacing w:before="240" w:after="0"/>
        <w:jc w:val="left"/>
        <w:rPr>
          <w:rFonts w:ascii="Times New Roman" w:hAnsi="Times New Roman"/>
          <w:sz w:val="20"/>
        </w:rPr>
      </w:pPr>
      <w:r>
        <w:rPr>
          <w:rFonts w:ascii="Times New Roman" w:hAnsi="Times New Roman"/>
          <w:sz w:val="20"/>
        </w:rPr>
        <w:t xml:space="preserve">(q) the applicability of Section 4.03 of this Indenture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(r) any deletions from, modifications of or additions to the Events of Default or covenants of the Company with respect to Securities of the series, whether or not such Events of Default or covenants are consistent with the Events of Default or covenants, as the case may be,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 whether the Securities of the series shall be issued upon original issuance in whole or in part in the form of one or more Book-Entry Securities and, in such case (a) the Depository with respect to such Book-Entry Security or Securities; and (b) the circumstances under which any such Book-Entry Security may be exchanged for Securities registered in the name of, and any transfer of such Book-Entry Security may be registered to, a Person other than such Depository or its nominee, if other than as set forth in Section 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any addition to, deletion from, change in or modification to the subordination provisions of this Indenture relating to the Securities of that series (including the provisions of Article 10), or different subordination provisions, including a different definition of “Senior Debt” or “Designated Senior Debt,” will apply to Securities of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(u) any other terms of or provisions applicable to the series (which terms and provisions shall not be inconsistent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and any coupons appertaining thereto shall be substantially identical except, in the case of Registered Securities, as to denomination and except in the case of any series of Securities, as may otherwise be provided in or pursuant to such Board Resolution referred to above and (subject to Section 3.03) set forth in such Officers’ Certificate or in any such indenture supplemental hereto. All Securities of one series need not be issued at the same time and, unless otherwise provided, a series may be reopened for issuances of additional Securities of such series. Securities may differ between series in respect of any matters.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Securities of any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Denominations</w:t>
      </w:r>
      <w:r>
        <w:rPr>
          <w:rFonts w:ascii="Times New Roman" w:hAnsi="Times New Roman"/>
          <w:sz w:val="20"/>
        </w:rPr>
        <w:t xml:space="preserve">. Unless otherwise provided as contemplated by Section 3.01 with respect to the Securities of any series, any Registered Securities of such series shall be issuable in denominations of $1,000 and any integral multiple thereof and any Bearer Securities of such series shall be issuable in the denomination of $5,000.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Execution, Authentication, Delivery and Dating</w:t>
      </w:r>
      <w:r>
        <w:rPr>
          <w:rFonts w:ascii="Times New Roman" w:hAnsi="Times New Roman"/>
          <w:sz w:val="20"/>
        </w:rPr>
        <w:t xml:space="preserve">. The Securities shall be executed on behalf of the Company by its chairman of the board, its president, its chief financial officer, its treasurer or its deputy treasurer, attested by its secretary or one of its assistant secretaries. The signature of any of these officers on the Securities may be manual or facsimile. Coupons shall bear the facsimile signature of the treasurer, deputy treasurer or any assistant treasurer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together with any coupons appertaining thereto, executed by the Company and delivered to the Trustee for authentication, together with a Company Order for the authentication and delivery of such Securities, and the Trustee in accordance with the Company Order shall authenticate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deliver such Securities;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connection with its original issuance, no Bearer Security shall be mailed or otherwise delivered to any location in the United States;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 Bearer Security may be delivered in connection with its original issuance only if the Person entitled to receive such Bearer Security shall have furnished a certificate in the form set forth in Exhibit C-1 to this Indenture, dated no earlier than 15 days prior to the earlier of the date on which such Bearer Security is delivered and the date on which any temporary global Security first becomes exchangeable for such Bearer Security in accordance with the terms of such temporary global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 </w:t>
      </w:r>
    </w:p>
    <w:p>
      <w:pPr>
        <w:pStyle w:val="TextBody"/>
        <w:bidi w:val="0"/>
        <w:spacing w:before="240" w:after="0"/>
        <w:jc w:val="left"/>
        <w:rPr>
          <w:rFonts w:ascii="Times New Roman" w:hAnsi="Times New Roman"/>
          <w:sz w:val="20"/>
        </w:rPr>
      </w:pPr>
      <w:r>
        <w:rPr>
          <w:rFonts w:ascii="Times New Roman" w:hAnsi="Times New Roman"/>
          <w:sz w:val="20"/>
        </w:rPr>
        <w:t xml:space="preserve">If the forms or terms of the Securities of the series and any related coupons have been established in or pursuant to one or more Board Resolutions as permitted by Sections 2.01 and 3.01, in authenticating such Securities, and accepting the additional responsibilities under this Indenture in relation to such Securities, the Trustee shall receive, and (subject to Section 6.01) shall be fully protected in relying upon, an Opinion of Counsel stating: </w:t>
      </w:r>
    </w:p>
    <w:p>
      <w:pPr>
        <w:pStyle w:val="TextBody"/>
        <w:bidi w:val="0"/>
        <w:spacing w:before="120" w:after="0"/>
        <w:jc w:val="left"/>
        <w:rPr>
          <w:rFonts w:ascii="Times New Roman" w:hAnsi="Times New Roman"/>
          <w:sz w:val="20"/>
        </w:rPr>
      </w:pPr>
      <w:r>
        <w:rPr>
          <w:rFonts w:ascii="Times New Roman" w:hAnsi="Times New Roman"/>
          <w:sz w:val="20"/>
        </w:rPr>
        <w:t xml:space="preserve">(a) if the forms of such Securities and any coupons have been established by or pursuant to a Board Resolution as permitted by Section 2.01, that such forms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terms of such Securities and any coupons have been established by or pursuant to a Board Resolution as permitted by Section 3.01, that such terms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that all conditions precedent in the Indenture to the issuance and authentication of the Securities have been complied with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(d) that such Securities, together with any coupons appertaining thereto, when authenticated and delivered by the Trustee and issued by the Company in the manner and subject to customary qualifications specified in such Opinion of Counsel, will constitute valid and legally binding obligations of the Company, enforceable in accordance with their terms, subject, as to enforcement to bankruptcy, insolvency, reorganization and other laws of general applicability relating to or affecting the enforcement of creditors’ rights and to general equity principles. If such forms or terms have been so established, the Trustee shall not be required to authenticate such Securities if the issue of such Securities pursuant to this Indenture will affect the Trustee’s own rights, duties, obligations or immunities under the Securities and this Indenture or will otherwise affect the Trustee in a manner which is not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Section 3.01 and of the preceding paragraph, if all Securities (or to enter into the related supplemental indenture, if applicable)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time of authentication of each Security of such series if such documents are delivered at or prior to the authentication upon original issuance of the first Security of such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A Company Order delivered in the circumstances set forth in the preceding paragraph may provide that Securities which are the subject thereof will be authenticated and delivered by the Trustee on original issue from time to time upon the written order of persons designated in such Company Order, and that such persons are authorized to determine, consistent with the Officers’ Certificate referred to in Section 3.01 or any applicable supplemental indenture, such terms and conditions of said Securities as are specified in such Company Order, provided the foregoing procedure is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Registered Security shall be dated the date of its authentication. Each Bearer Security of a series shall be dated as of the date of the initial issuance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No Security or any related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that such Security and any related coupon are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3.09 together with an Officers’ Certificate (which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Temporary Securities</w:t>
      </w:r>
      <w:r>
        <w:rPr>
          <w:rFonts w:ascii="Times New Roman" w:hAnsi="Times New Roman"/>
          <w:sz w:val="20"/>
        </w:rPr>
        <w:t xml:space="preserve">.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Bearer Securities of any series, such temporary Securities may be in global form, representing all of the Outstanding Bearer Securities of such series. A temporary Bearer Security shall be delivered only in compliance with the conditions set forth in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11.02 in a Place of Payment for that series, without charge to the Holder. Upon surrender for cancellation of any one or more temporary Securities of any series (accompanied by any unmatured coupons appertaining thereto) the Company shall execute and upon receipt of a Company Order, the Trustee shall authenticate and deliver in exchange therefor a like aggregate principal amount of definitive Securities of the same series and of like tenor of authorized denominations;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definitive Bearer Security shall be delivered in exchange for a temporary Registered Security;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 </w:t>
      </w:r>
    </w:p>
    <w:p>
      <w:pPr>
        <w:pStyle w:val="TextBody"/>
        <w:bidi w:val="0"/>
        <w:spacing w:before="240" w:after="0"/>
        <w:jc w:val="left"/>
        <w:rPr>
          <w:rFonts w:ascii="Times New Roman" w:hAnsi="Times New Roman"/>
          <w:sz w:val="20"/>
        </w:rPr>
      </w:pPr>
      <w:r>
        <w:rPr>
          <w:rFonts w:ascii="Times New Roman" w:hAnsi="Times New Roman"/>
          <w:sz w:val="20"/>
        </w:rPr>
        <w:t>Unless otherwise provided in or pursuant to a Board Resolution or supplemental indenture pursuant to Section 3.01, the following provisions of this Section 3.04(b) shall govern the exchange of temporary Securities other than through the facilities of DTC. If any such temporary Security is of any series are issued in global form, any such temporary global Security shall, unless otherwise provided therein, be delivered to the London office of a depository or common depository (the “</w:t>
      </w:r>
      <w:r>
        <w:rPr>
          <w:rFonts w:ascii="Times New Roman" w:hAnsi="Times New Roman"/>
          <w:b/>
          <w:sz w:val="20"/>
        </w:rPr>
        <w:t>Common Depository</w:t>
      </w:r>
      <w:r>
        <w:rPr>
          <w:rFonts w:ascii="Times New Roman" w:hAnsi="Times New Roman"/>
          <w:sz w:val="20"/>
        </w:rPr>
        <w:t xml:space="preserve">”) upon and pursuant to a written direction of the Company, for the benefit of Euroclear and Clearstream, for credit to the respective accounts of the beneficial owners of such Securities (or to such other accounts as they may direct). </w:t>
      </w:r>
    </w:p>
    <w:p>
      <w:pPr>
        <w:pStyle w:val="TextBody"/>
        <w:bidi w:val="0"/>
        <w:spacing w:before="240" w:after="0"/>
        <w:jc w:val="left"/>
        <w:rPr>
          <w:rFonts w:ascii="Times New Roman" w:hAnsi="Times New Roman"/>
          <w:sz w:val="20"/>
        </w:rPr>
      </w:pPr>
      <w:r>
        <w:rPr>
          <w:rFonts w:ascii="Times New Roman" w:hAnsi="Times New Roman"/>
          <w:sz w:val="20"/>
        </w:rPr>
        <w:t>Without unnecessary delay but in any event not later than the date specified in, or determined pursuant to the terms of, any such temporary global Security of a series (the “</w:t>
      </w:r>
      <w:r>
        <w:rPr>
          <w:rFonts w:ascii="Times New Roman" w:hAnsi="Times New Roman"/>
          <w:b/>
          <w:sz w:val="20"/>
        </w:rPr>
        <w:t>Exchange Date</w:t>
      </w:r>
      <w:r>
        <w:rPr>
          <w:rFonts w:ascii="Times New Roman" w:hAnsi="Times New Roman"/>
          <w:sz w:val="20"/>
        </w:rPr>
        <w:t xml:space="preserve">”), the Company shall execute, and upon a Company Order, the Trustee shall authenticate and deliver definitive Securities of such series in aggregate principal amount equal to the principal amount of such temporary global Security. On or after the Exchange Date, such temporary global Security shall be surrendered by the Common Depository to the Trustee, as the Company’s agent for such purpose, to be exchanged, in whole or from time to time in part, for definitive Securities of such series without charge and the Trustee shall authenticate and deliver, in exchange for each portion of such temporary global Security, a like aggregate principal amount of definitive Securities of the same series of authorized denominations and of like tenor as the portion of such temporary global Security to be exchanged;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otherwise specified in such temporary global Security, upon such presentation by the Common Depository, such temporary global Security is accompanied by a certificate dated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C-2 to this Indenture or in such other form as may be established pursuant to Section 3.01.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definitive Bearer Securities shall be delivered in exchange for a portion of a temporary global Security only in compliance with the requirements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C-1 to this Indenture (or in such other form as may be established pursuant to Section 3.01), dated no earlier than 15 days prior to the Exchange Date, copies of which certificate shall be available from the offices of Euroclear and Clearstream, the Trustee, the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Clearstream. Definitive Securities in bearer form to be delivered in exchange for any portion of a temporary global Security shall be delivered only to an address located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Exhibit C-3 to this Indenture (or in such other forms as may be established pursuant to Section 3.01), for credit without further interest on or after such Interest Payment Date to the respective accounts of the Persons who are the beneficial owners of such temporary global Security on such Interest Payment Date and who have each delivered to Euroclear or Clearstream, as the case may be, in such form as may be established pursuant to Section 3.01). Any interest so received by Euroclear and Clearstream and not paid as herein provided shall be returned to the Trustee immediately prior to the expiration of two years after such Interest Payment Date in order to be repaid to the Company in accordance with Section 11.03.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Registration, Registration of Transfer and Exchange</w:t>
      </w:r>
      <w:r>
        <w:rPr>
          <w:rFonts w:ascii="Times New Roman" w:hAnsi="Times New Roman"/>
          <w:sz w:val="20"/>
        </w:rPr>
        <w:t>. The Company shall cause to be kept at the Corporate Trust Office of the Trustee a register (the register maintained in such office and in any other office or agency to be maintained by the Company in accordance with Section 11.02 being herein sometimes collectively referred to as the “</w:t>
      </w:r>
      <w:r>
        <w:rPr>
          <w:rFonts w:ascii="Times New Roman" w:hAnsi="Times New Roman"/>
          <w:b/>
          <w:sz w:val="20"/>
        </w:rPr>
        <w:t>Security Register</w:t>
      </w:r>
      <w:r>
        <w:rPr>
          <w:rFonts w:ascii="Times New Roman" w:hAnsi="Times New Roman"/>
          <w:sz w:val="20"/>
        </w:rPr>
        <w:t xml:space="preserve">”) in which, subject to such reasonable regulations as it may prescribe, the Company shall provide for the registration of Registered Securities and of transfers of Registered Securities. The Trustee is hereby appointed “Security Registrar” for the purpose of registering Registered Securities and transfers of Registered Securities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Upon due surrender for registration of transfer of any Registered Security of any series at the office or agency maintained pursuant to Section 11.02 for such purpose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and tenor.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Registered Securities of any series may be exchanged for other Registered Securities of the same series, of any authorized denominations and of a like aggregate principal amount and tenor, upon surrender of the Securities to be exchanged at such office or agency. Bearer Securities may not be issued in exchange for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or jointly by the Company and the Trustee if there is furnished to them such security and/or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otherwise provided in Section 11.02,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upon receipt of a Company Order, the Trustee shall authenticate and deliver, the Securities which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except as otherwise specified as contemplated by Section 3.01, any permanent global Security shall be exchangeable only as provided in this paragraph. If the beneficial owners of interest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execute, and upon a Company Order, the Trustee shall authenticate and deliver definitive Securities of that series in aggregate principal amount equal to the principal amount of such permanent global Security. On or after the earliest date on which such interests may be so exchanged, such permanent global Security shall be surrendered by the Common Depository or such other depositary as shall be specified in the Company Order with respect thereto to the Trustee as the Company’s agent for such purpose, to be exchanged, in whole or from time to time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exchanges may occur during a period beginning at the opening of business 15 days before any selection of Securities of that series to be redeemed and ending on the relevant Redemption Date;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Bearer Security delivered in exchange for a portion of a permanent global Security (or, if specified as contemplated by Section 3.01, in exchange for Registered Securities) shall be mailed or otherwise delivered to any location in the United States. Promptly following any such exchange in part and any endorsement thereon to reflect the amount represented by such exchange, such permanent global Security shall be returned by the Trustee to the Common Depository or such other depositary or Common Depository referred to above in accordance with the instructions of the Company referred to above.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except as otherwise specified or contemplated by Section 3.01, any Book-Entry Security shall be exchangeable pursuant to this Section 3.05 or Sections 3.04, 9.06 and 12.07 for Securities registered in the name of, and a transfer of a Book-Entry Security or any series may be registered to, any Person other than the Depository for such Security or its nominee only if such Depository notifies the Company that it is unwilling or unable to continue as Depository for such Book-Entry Security or if at any time such Depository ceases to be a clearing agency registered under the Exchange Act, the Company executes and delivers to the Trustee a Company Order that such Book-Entry Security shall be so exchangeable and the transfer thereof so registrable or there shall have occurred and be continuing an Event of Default, or an event which after notice or lapse of time would be an Event of Default, with respect to the Securities of such series. Upon the occurrence in respect of any Book-Entry Security of any series of any one or more of the conditions specified in clauses (i), (ii) or (iii) of the preceding sentence or such other conditions as may be specified as contemplated by Section 3.01 for such series, such Book-Entry Security may be exchanged for Securities registered in the names of, and the transfer of such Book-Entry Security may be registered to, such Persons (including Persons other than the Depository with respect to such series and its nominees) as such Depository shall direct. Notwithstanding any other provision of this Indenture, any Security authenticated and delivered upon registration of transfer of, or in exchange for, or in lieu of, any Book-Entry Security shall also be a Book-Entry Security and shall bear the legend specified in Section 2.04 except for any Security authenticated and delivered in exchange for, or upon registration of transfer of, Book-Entry Security pursuant to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Every Registered Security presented or surrendered for registration of transfer or for exchange shall (if so required by the Company or the Trustee or any transfer agent) be duly endorsed, or be accompanied by a written instrument of transfer in form satisfactory to the Company, the Trustee and the Security Registrar or any transfer agent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Sections Section 3.04, 9.06 and 12.07 not involving any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the Trustee, as applicable,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w:t>
      </w:r>
      <w:r>
        <w:rPr>
          <w:rFonts w:ascii="Times New Roman" w:hAnsi="Times New Roman"/>
          <w:i/>
          <w:sz w:val="20"/>
        </w:rPr>
        <w:t>provided</w:t>
      </w:r>
      <w:r>
        <w:rPr>
          <w:rFonts w:ascii="Times New Roman" w:hAnsi="Times New Roman"/>
          <w:sz w:val="20"/>
        </w:rPr>
        <w:t xml:space="preserve"> that such Registered Security shall be simultaneously surrendered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Indenture or in the terms of a Security to the contrary, the exchange of Bearer Securities for Registered Securities will be subject to satisfaction of the provisions of the United States Federal income tax laws in effect at the time of such exchange. None of the Company, the Trustee or any Authenticating Agent of the Company or the Trustee (any of which, other than the Company, shall rely on an Officers’ Certificate and an Opinion of Counsel) shall be required to exchange any Bearer Security for a Registered Security if as a result thereof and in the Company’s reasonable judgment, the Company would incur adverse consequences under then applicable United States Federal income laws. No Registered Security may be exchanged for a Bearer Security.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responsibility or obligation to any beneficial owner of a global Security, a member of, or a participant in, DTC or other Person with respect to the accuracy of the records of DTC or its nominee or of any participant or member thereof, with respect to any ownership interest in the Securities or with respect to the delivery to any participant, member, beneficial owner or other Person (other than DTC) of any notice (including any notice of redemption or purchase) or the payment of any amount or delivery of any Securities (or other security or property) (other than to DTC or its nominee) under or with respect to such Securities. All notices and communications to be given to the Holders and all payments to be made to Holders in respect of the Securities shall be given or made only to or upon the order of the registered Holders (which shall be DTC or its nominee in the case of a global Security). The rights of beneficial owners in any global Security shall be exercised only through DTC subject to the applicable rules and procedures of DTC. The Trustee may rely and shall be fully protected in relying upon information furnished by DTC with respect to its members, participants and any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 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Company, the Trustee nor any of its agents shall have any responsibility for any actions taken or not taken by DTC.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i/>
          <w:sz w:val="20"/>
        </w:rPr>
        <w:t>Mutilated, Destroyed, Lost and Stolen Securities</w:t>
      </w:r>
      <w:r>
        <w:rPr>
          <w:rFonts w:ascii="Times New Roman" w:hAnsi="Times New Roman"/>
          <w:sz w:val="20"/>
        </w:rPr>
        <w:t xml:space="preserve">. If any mutilated Security or a Security with a mutilated coupon appertaining thereto is surrendered to the Trustee or the Company, together with, in proper cases, such security and/or indemnity as may be required by the Company or the Trustee to save each of them or any agent of either of them harmless, the Company shall execute, and upon receipt of a Company Order,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have been delivered to the Company and the Trustee (i) evidence to their satisfaction of the destruction, loss or theft of any Security or coupon, and (ii) such security and/or indemnity as may be required by them to save each of them and any agent of either of them harmless, then, in the absence of notice to the Company or the Trustee that such Security or coupon has been acquired by a </w:t>
      </w:r>
      <w:r>
        <w:rPr>
          <w:rFonts w:ascii="Times New Roman" w:hAnsi="Times New Roman"/>
          <w:i/>
          <w:sz w:val="20"/>
        </w:rPr>
        <w:t>bona fide</w:t>
      </w:r>
      <w:r>
        <w:rPr>
          <w:rFonts w:ascii="Times New Roman" w:hAnsi="Times New Roman"/>
          <w:sz w:val="20"/>
        </w:rPr>
        <w:t xml:space="preserve"> purchaser, the Company shall execute and upon its receipt of a Company Order,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or coupon has become or is about to become due and payable, the Company in its discretion may, instead of issuing a new Security, pay such Security or coupon; provided however, that principal of (and premium, if any) and interest, if any, on Bearer Securities shall, except as otherwise provided in Section 11.02, be payable only at an office or agency located outside the United States;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unless otherwise specified as contemplated by Section 3.01 with respect to any series of Securities, interest on Bearer Securities (but not any additional amounts payable as provided in Section 11.09), shall be payable only upon presentation and surrender of the coupons appertaining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issuance of any new Security under this Section, the Company or the Trustee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or coupons.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i/>
          <w:sz w:val="20"/>
        </w:rPr>
        <w:t>Payment of Interest; Interest Rights Preserved</w:t>
      </w:r>
      <w:r>
        <w:rPr>
          <w:rFonts w:ascii="Times New Roman" w:hAnsi="Times New Roman"/>
          <w:sz w:val="20"/>
        </w:rPr>
        <w:t xml:space="preserve">. Unless otherwise specified as contemplated by Section 3.01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installment of interest on any Registered Security may at the Company’s option be paid by (i) mailing a check for such interest, payable to the Person entitled thereto pursuant to Section 3.08, to the address of such Person as it appears on the Security Register or (ii) transfer to an account maintained by such Person inside the United States;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payment is to be made pursuant to (ii) above, the Trustee shall have received written wire instructions by no later than the Regular Record Date preceding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3.01, every permanent global Security or Book-Entry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or Book-Entry Security to the accounts of the beneficial owners thereof.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severally mature.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unless otherwise provided as contemplated by Section 3.01 with respect to the Securities of any series, payment of interest may be made, in the case of a Bearer Security, by transfer to an account maintained by the payee with a bank located outside the United States upon surrender of the coupon for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 Bearer Security of any series is surrendered in exchange for a Registered Security of such series after the close of business (at an office or agency in a Place of Payment for such series) on any Regular Record Date for such Registered Security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Any interest on any Registered Security of any series which is payable, but is not punctually paid or duly provided for, on any Interest Payment Date (herein called “</w:t>
      </w:r>
      <w:r>
        <w:rPr>
          <w:rFonts w:ascii="Times New Roman" w:hAnsi="Times New Roman"/>
          <w:b/>
          <w:sz w:val="20"/>
        </w:rPr>
        <w:t>Defaulted Interest</w:t>
      </w:r>
      <w:r>
        <w:rPr>
          <w:rFonts w:ascii="Times New Roman" w:hAnsi="Times New Roman"/>
          <w:sz w:val="20"/>
        </w:rPr>
        <w:t xml:space="preserve">”) shall forthwith cease to be payable to the Holder on the relevant Regular Record Date by virtue of having been such Holder, and such Defaulted Interest may be paid by the Company, at its election in each case, as provided in clause (a) or (b) below.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(i) to be mailed, first-class postage prepaid, to each Holder of Registered Securities of such series at his address as it appears in the Security Register, not less than 10 days prior to such Special Record Date, and (ii) with respect to Bearer Securities of such series, to be published as provided for in Section 1.06. The Trustee shall, upon receipt of a Company Order, in the name and at the expense of the Company, cause a similar notice to be published at least once in a newspaper published in the English language customarily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published on each Business Day and of general circulation in the Borough of Manhattan, the City of New York,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(b).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is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i/>
          <w:sz w:val="20"/>
        </w:rPr>
        <w:t>Persons Deemed Owners</w:t>
      </w:r>
      <w:r>
        <w:rPr>
          <w:rFonts w:ascii="Times New Roman" w:hAnsi="Times New Roman"/>
          <w:sz w:val="20"/>
        </w:rPr>
        <w:t xml:space="preserve">. 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Security and for all other purposes whatsoever, whether or not such Security be overdue, and neither the Company, the Trustee nor any agent of the Company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Title to any Bearer Security and any coupons appertaining thereto shall pass by delivery. The Company, the Trustee and any agent of the Company or the Trustee may treat the bearer of any Bearer Security and the bearer of any coupon as the absolute owner of such Bearer Security or coupon for the purpose of receiving payment thereof or art account thereof and for all other purposes whatsoever, whether or not such Bearer Security or coupon be overdue, and neither the Company, the Trustee nor any agent of the Company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3.05, owners of beneficial interests in a Book-Entry Security shall not be entitled to have Securities represented by such Book-Entry Security registered in their names, shall not receive or be entitled to receive physical delivery of Securities in certificated form and shall not be considered the Holders thereof for any purpose under this Indenture. Members or participants in the Depository shall have no rights under this Indenture with respect to any Book-Entry Security held on their behalf by the Depository, and such Depository may be treated by the Company, the Trustee and any agent of the Company or the Trustee as the Holder of such Book-Entry Security under this Indenture. Notwithstanding the foregoing, with respect to any Book-Entry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nothing herein shall prevent the Company, the Trustee, or any agent of the Company or the Trustee, from giving effect to any written certification, proxy or other authorization furnished by the Depository, as a Holder, with respect to such Book-Entry Security or impair, as between the Depository and owners of beneficial interests in such Book-Entry Security, the operation of customary practices governing the exercise of the rights of the Depository (or its nominee) as Holder of such Book-Entry Security.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any Paying Agent or the Security Registrar will have any responsibility or liability for any aspect of the records relating to or payments made on account of beneficial ownership interests of a Book-Entry Security or for maintaining, supervising or reviewing any records relating to such beneficial ownership interests or for the delivery to any member of or participants in the Depository of any notice permitted or required to be given to the Holders of the Securities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i/>
          <w:sz w:val="20"/>
        </w:rPr>
        <w:t>Cancellation</w:t>
      </w:r>
      <w:r>
        <w:rPr>
          <w:rFonts w:ascii="Times New Roman" w:hAnsi="Times New Roman"/>
          <w:sz w:val="20"/>
        </w:rPr>
        <w:t xml:space="preserve">. All Securities and coupons surrendered for payment, redemption, registration of transfer or exchange or for credit against any sinking fund payment shall, if surrendered to any Person other than the Trustee, be delivered to the Trustee and such Securities and coupons shall be promptly cancelled by the Trustee.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and coupons held by the Trustee shall be destroyed by the Trustee unless other instructions are furnished to the Trustee by a Company Order.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Book-Entry Security, nothing shall prevent the Company, the Trustee or any agent of the Company or the Trustee, from giving effect to any written certification, proxy or other authorization furnished by a Depository or impair, as between a Depository and holders of beneficial interests in any Book-Entry Security, the operation of customary practices governing the exercise of the rights of the Depository (or its nominee) as Holder of such Book-Entry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i/>
          <w:sz w:val="20"/>
        </w:rPr>
        <w:t>Computation of Interest</w:t>
      </w:r>
      <w:r>
        <w:rPr>
          <w:rFonts w:ascii="Times New Roman" w:hAnsi="Times New Roman"/>
          <w:sz w:val="20"/>
        </w:rPr>
        <w:t xml:space="preserve">. Except as otherwise specified as contemplated by Section 3.01 for the Securities of any series, interest, if any on the Securities of each series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i/>
          <w:sz w:val="20"/>
        </w:rPr>
        <w:t>Electronic Security Issuance</w:t>
      </w:r>
      <w:r>
        <w:rPr>
          <w:rFonts w:ascii="Times New Roman" w:hAnsi="Times New Roman"/>
          <w:sz w:val="20"/>
        </w:rPr>
        <w:t xml:space="preserve">. The Securities may, pursuant to a Board Resolution and Officers’ Certificate complying with Section 3.01 hereof, be issued by means of an electronic issuance system. Any such Security issuance instructions may specify the name, address and taxpayer identification number of the Holder, the principal amount and Maturity of the Security, the interest rate to be borne by the Security and any other terms not inconsistent with such Board Resolution and Officers’ Certificate. Nothing in this Section 3.11 shall be construed as prohibiting the Company from issuing Securities by any means not inconsistent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i/>
          <w:sz w:val="20"/>
        </w:rPr>
        <w:t>CUSIP Numbers</w:t>
      </w:r>
      <w:r>
        <w:rPr>
          <w:rFonts w:ascii="Times New Roman" w:hAnsi="Times New Roman"/>
          <w:sz w:val="20"/>
        </w:rPr>
        <w:t xml:space="preserve">. The Company in issuing the Securities may use “CUSIP” numbers (if then generally in use), and, if so, the Trustee shall use CUSIP numbers in notices of redemption as a convenience to Holders; </w:t>
      </w:r>
      <w:r>
        <w:rPr>
          <w:rFonts w:ascii="Times New Roman" w:hAnsi="Times New Roman"/>
          <w:i/>
          <w:sz w:val="20"/>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a reliance may be placed only on the other identification numbers printed on the Securities, and any such redemption shall not be affected by any defect in or omission of such numbers. The Company will promptly notify the Trustee in writing of any change in the CUSIP numbers. </w:t>
      </w:r>
    </w:p>
    <w:p>
      <w:pPr>
        <w:pStyle w:val="TextBody"/>
        <w:bidi w:val="0"/>
        <w:spacing w:before="24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Satisfaction and Discharge of Indenture</w:t>
      </w:r>
      <w:r>
        <w:rPr>
          <w:rFonts w:ascii="Times New Roman" w:hAnsi="Times New Roman"/>
          <w:sz w:val="20"/>
        </w:rPr>
        <w:t xml:space="preserve">. This Indenture shall upon Company Request cease to be of further effect with respect to any series of Securities specified in such Company Request (except as to any surviving rights of registration of transfer or exchange of Securities of such series herein expressly provided for the form of Security for such series and any right to receive additional amounts, as provided in Section 11.09), and the Trustee, upon its receipt of such Company Request an at the expense of the Company, shall execute instruments in form and substance satisfactory to the Trustee and the Company acknowledging satisfaction and discharge of this Indenture as to such series: when </w:t>
      </w:r>
    </w:p>
    <w:p>
      <w:pPr>
        <w:pStyle w:val="TextBody"/>
        <w:bidi w:val="0"/>
        <w:spacing w:before="24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and all coupons, if any, appertaining thereto (other than coupons appertaining to Bearer Securities surrendered for exchange for Registered Securities and maturing after such exchange, whose surrender is not required or has been waived as provided in Section 3.05, Securities of such series and coupons appertaining thereto which have been destroyed, lost or stolen and which have been replaced or paid as provided in Section 3.06, coupons appertaining to Securities of such series called for redemption and maturing after the relevant Redemption Date, whose surrender has been waived as provided in Section 12.06 and Securities of such series and coupons appertaining thereto for whose payment money has theretofore been deposited in trust or segregated and held in trust by the Company and thereafter repaid to the Company or discharged from such trust, as provided in Section 11.03)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of such series and, in the case of (A) or (B) below, any coupons appertaining thereto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(A)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(B) will become due and payable at their Stated Maturity within one year,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are to be called for redemption within one year under arrangements satisfactory to the Trustee for the giving of notice of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(A), (B) or (C) above, has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coupons not theretofore delivered to the Trustee for cancellation, for principal (and premium, if any) and interest, if any, to the date of such deposit (in the case of Securities which have become due and payable), or to the Stated Maturity or the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with respect to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with respect to such series,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with respect to such series, the obligations of the Company to the Trustee and any predecessor Trustee with respect to such series under Section 6.07, and, if money shall have been deposited with the Trustee pursuant to subclause (ii) of clause (a) of this Section, the obligations of the Trustee under Section 4.02 and the last paragraph of Section 11.03, shall survive such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Application of Trust Money</w:t>
      </w:r>
      <w:r>
        <w:rPr>
          <w:rFonts w:ascii="Times New Roman" w:hAnsi="Times New Roman"/>
          <w:sz w:val="20"/>
        </w:rPr>
        <w:t xml:space="preserve">. Subject to the provisions of the last paragraph of Section 11.03, all money deposited with the Trustee pursuant to Section 4.01 and all money and U.S. Government Obligations deposited with the Trustee (or a successor trustee satisfying the requirements of Section 6.09) pursuant to Section 4.03 shall be held in trust and shall be applied by it, in accordance with the provisions of the series of Securities and this Indenture, to the payment, either directly or through any Paying Agent as the Trustee may determine, to the Persons entitled thereto, of all sums due and to become due thereon in respect of the principal of (and premium, if any) and interest, if any, on the Securities for which payment such money has been deposited with the Trustee or to make mandatory sinking fund payments or analogous payments as contemplated by Section 4.03; provided, that, such money need not be segregated from other funds except to the extent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Discharge and Defeasance of Securities of any Series</w:t>
      </w:r>
      <w:r>
        <w:rPr>
          <w:rFonts w:ascii="Times New Roman" w:hAnsi="Times New Roman"/>
          <w:sz w:val="20"/>
        </w:rPr>
        <w:t xml:space="preserve">. If this Section 4.03 is specified, as contemplated by Section 3.01, to be applicable to the Securities of any series, then, notwithstanding the provisions of Section 4.01, the Company shall be deemed to have paid and discharged the entire indebtedness on all the Outstanding Securities of any such series on the 91st day after the date of the deposit referred to in subparagraph (d) hereof, and the provisions of this Indenture, as it relates to such Outstanding Securities, shall no longer be in effect (and the Trustee, at the expense of the Company, shall upon Company Request, execute proper instruments acknowledging the same), except as to: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premium, if any) and each installment of principal of (and premium, if any) or interest, if any, on the Outstanding Securities of such series on the Stated Maturity of such principal or installment of principal or interest and (ii) any mandatory sinking fund payments or analogous payments applicable to the Securities of such series on the day on which such payments are due and payable in accordance with the terms of this Indenture and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(b) the rights, powers, trusts, duties, indemnities and immunities of the Trustee hereunder with respect to such series, including those set forth in Section 6.07; and </w:t>
      </w:r>
    </w:p>
    <w:p>
      <w:pPr>
        <w:pStyle w:val="TextBody"/>
        <w:bidi w:val="0"/>
        <w:spacing w:before="240" w:after="0"/>
        <w:jc w:val="left"/>
        <w:rPr>
          <w:rFonts w:ascii="Times New Roman" w:hAnsi="Times New Roman"/>
          <w:sz w:val="20"/>
        </w:rPr>
      </w:pPr>
      <w:r>
        <w:rPr>
          <w:rFonts w:ascii="Times New Roman" w:hAnsi="Times New Roman"/>
          <w:sz w:val="20"/>
        </w:rPr>
        <w:t xml:space="preserve">(c) either if this Section 4.03(c)(i) is specified, as contemplated by Section 3.01, to be applicable to the Securities of any series, the Company’s obligations with respect to the Securities of such series under Sections 3.04, 3.05, 3.06, 11.02 and 11.03; or, alternatively, if this Section 4.03(c)(ii) is specified, as contemplated by Section 3.01, to be applicable to the Securities of any series, the Company’s obligations with respect to such Securities under Sections 3.04, 3.05, 3.06, Section 11.01, 11.02 and 11.03;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irrevocably deposited or caused to be deposited (in accordance with Section 4.02) with the Trustee (or another trustee satisfying the requirements of Section 6.09) as trust funds in trust specifically pledged as security for, and dedicated solely to, the benefit of the Holders of the Securities of that series, with reference to this Section 4.03 money in an amount, or U.S. Government Obligations which through the payment of interest and principal in respect thereof in accordance with their terms will provide not later than one Business Day before the due date of any payment referred to in clause (A) or (B) of this subparagraph (d) money in an amount, or (iii) a combination thereof, sufficient, in the opinion of a nationally recognized firm of independent certified public accountants expressed in a written certification thereof delivered to the Trustee, to pay and discharge (A) the principal of (and premium, if any) and each installment of principal of (and premium, if any) and interest, if any, on the Outstanding Securities of such series on the Stated Maturity of such principal or installment of principal or interest or on the applicable Redemption Date and (B) any mandatory sinking fund payments or analogous payments applicable to the Securities of such series on the day on which such payments are due and payable in accordance with the terms of this Indenture and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 such deposit shall not cause the Trustee with respect to the Securities of such series to have a conflicting interest as defined in Section 6.08 or for purposes of the Trust Indenture Act with respect to the Securities of any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such deposit will not result in a breach or violation of, or constitute a default under, any applicable laws, this Indenture or any other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(g) if this Section 4.03(g) is specified, as contemplated by Section 3.01, to be applicable to the Securities of any series, such provision would not cause any Outstanding Securities of such series then listed on the New York Stock Exchange or other nationally recognized securities exchange to be de-listed as a result thereof; </w:t>
      </w:r>
    </w:p>
    <w:p>
      <w:pPr>
        <w:pStyle w:val="TextBody"/>
        <w:bidi w:val="0"/>
        <w:spacing w:before="240" w:after="0"/>
        <w:jc w:val="left"/>
        <w:rPr>
          <w:rFonts w:ascii="Times New Roman" w:hAnsi="Times New Roman"/>
          <w:sz w:val="20"/>
        </w:rPr>
      </w:pPr>
      <w:r>
        <w:rPr>
          <w:rFonts w:ascii="Times New Roman" w:hAnsi="Times New Roman"/>
          <w:sz w:val="20"/>
        </w:rPr>
        <w:t xml:space="preserve">(h) no Event of Default or event which with the giving of notice or lapse of time or both would become an Event of Default with respect to the Securities of that series shall have occurred and be continuing on the date of such deposit or at any time during the period ending on the 91st day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(i) if this Section 4.03(i) is specified, as contemplated by Section 3.01, to be applicable to the Securities of any series, the Company has delivered to the Trustee an Opinion of Counsel to the effect that, based upon applicable Federal income tax law or a ruling published by the Internal Revenue Service (which opinion, for the purposes contemplated by Section 4.03(c)(i), must be based on a change in applicable Federal income tax law after the date of this Indenture or a ruling published by the Internal Revenue Service after the date of this Indenture),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delivered to the Trustee an Officers’ Certificate and an Opinion of Counsel, each stating that all conditions precedent relating to the defeasance contemplated by this Section have been complied with.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Events of Default</w:t>
      </w:r>
      <w:r>
        <w:rPr>
          <w:rFonts w:ascii="Times New Roman" w:hAnsi="Times New Roman"/>
          <w:sz w:val="20"/>
        </w:rPr>
        <w:t>. “</w:t>
      </w:r>
      <w:r>
        <w:rPr>
          <w:rFonts w:ascii="Times New Roman" w:hAnsi="Times New Roman"/>
          <w:b/>
          <w:sz w:val="20"/>
        </w:rPr>
        <w:t>Event of Default</w:t>
      </w:r>
      <w:r>
        <w:rPr>
          <w:rFonts w:ascii="Times New Roman" w:hAnsi="Times New Roman"/>
          <w:sz w:val="20"/>
        </w:rPr>
        <w:t xml:space="preserve">”,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installment of interest upon any Security of that series when it becomes due and payable, and continuance of such default for a period of 30 days; or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the principal of (or premium, if any, on) any Security of that series at its Maturity;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default in the deposit of any sinking fund payment, when and as due by the terms of a Security of that series; or </w:t>
      </w:r>
    </w:p>
    <w:p>
      <w:pPr>
        <w:pStyle w:val="TextBody"/>
        <w:bidi w:val="0"/>
        <w:spacing w:before="240" w:after="0"/>
        <w:jc w:val="left"/>
        <w:rPr>
          <w:rFonts w:ascii="Times New Roman" w:hAnsi="Times New Roman"/>
          <w:sz w:val="20"/>
        </w:rPr>
      </w:pPr>
      <w:r>
        <w:rPr>
          <w:rFonts w:ascii="Times New Roman" w:hAnsi="Times New Roman"/>
          <w:sz w:val="20"/>
        </w:rPr>
        <w:t xml:space="preserve">(d) 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particular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 </w:t>
      </w:r>
    </w:p>
    <w:p>
      <w:pPr>
        <w:pStyle w:val="TextBody"/>
        <w:bidi w:val="0"/>
        <w:spacing w:before="240" w:after="0"/>
        <w:jc w:val="left"/>
        <w:rPr>
          <w:rFonts w:ascii="Times New Roman" w:hAnsi="Times New Roman"/>
          <w:sz w:val="20"/>
        </w:rPr>
      </w:pPr>
      <w:r>
        <w:rPr>
          <w:rFonts w:ascii="Times New Roman" w:hAnsi="Times New Roman"/>
          <w:sz w:val="20"/>
        </w:rPr>
        <w:t xml:space="preserve">(e) the entry by a court having jurisdiction in the premises of (A) a decree or order for relief in respect of the Company in an involuntary case in respect of the Company under any applicable bankruptcy, insolvency, reorganization or other similar law now or hereafter in effect, or (B) a decree or order appointing a receiver, liquidator, assignee, custodian, trustee, sequestrator (or similar official) of the Company or for any substantial part of its property, or ordering the winding-up or liquidation of its affairs and such decree or order shall remain unstayed and in effect for a period of 60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(f) the commencement by the Company of a voluntary case under any applicable bankruptcy, insolvency, reorganization or other similar law now or hereafter in effect or the consent by it to the entry of an order for relief in an involuntary case in respect of it under any such law, or the consent by it to the appointment of or taking possession by a receiver, liquidator, assignee, trustee, custodian, sequestrator (or similar official) of the Company or for any substantial part of its property, or the making by it of any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(g) any other Event of Default provided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Acceleration of Maturity; Rescission and Annulment</w:t>
      </w:r>
      <w:r>
        <w:rPr>
          <w:rFonts w:ascii="Times New Roman" w:hAnsi="Times New Roman"/>
          <w:sz w:val="20"/>
        </w:rPr>
        <w:t xml:space="preserve">. If an Event of Default with respect to Securities of any series at the time Outstanding occurs and is continuing, then and in any such case the Trustee or the Holders of not less than 25% in principal amount of the Outstanding Securities of that series may declare the principal amount (or, if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Any application by the Trustee for written instructions from the requisite amount of Holders (as determined pursuant to this Indenture) may, at the option of the Trustee, set forth in writing any action proposed to be taken or omitted by the Trustee under this Indenture and the date on and/or after which such action shall be taken or such omission shall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paid or deposited with the Trustee a sum sufficient to pay in the currency, currency unit or composite currency in which the Securities of such series are payable (except as otherwise specified pursuant to Section 3.01 for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(i) all overdue installments of interest on all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(ii) the principal of (and premium, if any, on) any Securities of that series which have become due otherwise than by such declaration of acceleration and interest, if any, thereon at the rate or rates prescribed therefor in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that payment of such interest is lawful interest upon any overdue installments of interest at the rate or rates prescribed therefor in such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(iv) all sums paid or advanced by the Trustee hereunder and the compensation, expenses, disbursements and advances of the Trustee, its agents and counsel; and </w:t>
      </w:r>
    </w:p>
    <w:p>
      <w:pPr>
        <w:pStyle w:val="TextBody"/>
        <w:bidi w:val="0"/>
        <w:spacing w:before="240" w:after="0"/>
        <w:jc w:val="left"/>
        <w:rPr>
          <w:rFonts w:ascii="Times New Roman" w:hAnsi="Times New Roman"/>
          <w:sz w:val="20"/>
        </w:rPr>
      </w:pPr>
      <w:r>
        <w:rPr>
          <w:rFonts w:ascii="Times New Roman" w:hAnsi="Times New Roman"/>
          <w:sz w:val="20"/>
        </w:rPr>
        <w:t xml:space="preserve">(b) all Events of Default with respect to Securities of that series, other than the nonpayment of the principal of Securities of that series which have become due solely by such declaration of acceleration, have been cured or waived as provided in Section 5.13.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Collection of Indebtedness and Suits for Enforcement by Trustee</w:t>
      </w:r>
      <w:r>
        <w:rPr>
          <w:rFonts w:ascii="Times New Roman" w:hAnsi="Times New Roman"/>
          <w:sz w:val="20"/>
        </w:rPr>
        <w:t xml:space="preserve">. The Company covenants that if </w:t>
      </w:r>
    </w:p>
    <w:p>
      <w:pPr>
        <w:pStyle w:val="TextBody"/>
        <w:bidi w:val="0"/>
        <w:spacing w:before="240" w:after="0"/>
        <w:jc w:val="left"/>
        <w:rPr>
          <w:rFonts w:ascii="Times New Roman" w:hAnsi="Times New Roman"/>
          <w:sz w:val="20"/>
        </w:rPr>
      </w:pPr>
      <w:r>
        <w:rPr>
          <w:rFonts w:ascii="Times New Roman" w:hAnsi="Times New Roman"/>
          <w:sz w:val="20"/>
        </w:rPr>
        <w:t xml:space="preserve">(a) default is made in the payment of any installment of interest on any Security when such interest becomes due and payable and such default continues for a period of 30 days, or </w:t>
      </w:r>
    </w:p>
    <w:p>
      <w:pPr>
        <w:pStyle w:val="TextBody"/>
        <w:bidi w:val="0"/>
        <w:spacing w:before="240" w:after="0"/>
        <w:jc w:val="left"/>
        <w:rPr>
          <w:rFonts w:ascii="Times New Roman" w:hAnsi="Times New Roman"/>
          <w:sz w:val="20"/>
        </w:rPr>
      </w:pPr>
      <w:r>
        <w:rPr>
          <w:rFonts w:ascii="Times New Roman" w:hAnsi="Times New Roman"/>
          <w:sz w:val="20"/>
        </w:rPr>
        <w:t xml:space="preserve">(b) default is made in the payment of the principal of (or premium, if any, on) any Security at its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upon demand of the Trustee, pay to it, for the benefit of the Holders of such Securities and coupons, the whole amount then due and payable on such Securities and coupons for principal (and premium, if any) and interest, if any, and, to the extent that payment of such interest shall be legally enforceable, interest on the overdue principal (and premium, if any) and on any overdue installments of interest, at the rate or rates prescribed therefor in such Securities and, in addition thereto, such further amount as shall be sufficient to cover the costs and expenses of collection, including the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Trustee May File Proof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principal (and premium, if any) and interest, if any, owing and unpaid in respect of the Securities and to file such other papers or documents as may be necessary or advisable in order to have the claims of the Trustee (including any claim for the compensation, expenses, disbursements and advances of the Trustee, (including the reasonable fees and expenses of its agents and counsel) and of the Holders of Securities and coupons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receiver, assignee, custodian, trustee, liquidator, sequestrator or other similar official in any such judicial proceeding is hereby authorized by each Holder of Securities and coupons to make such payments to the Trustee and, in the event that the Trustee shall consent to the making of such payments directly to the Holders of Securities and coupons, to pay to the Trustee any amount due to it for the compensation, expenses, disbursements and advances of the Trustee (including the reasonable fees and expenses of its agents and counsel), and any other amounts due the Trustee under Section 6.07.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Trustee May Enforce Claims Without Possession of Securities or Coupons</w:t>
      </w:r>
      <w:r>
        <w:rPr>
          <w:rFonts w:ascii="Times New Roman" w:hAnsi="Times New Roman"/>
          <w:sz w:val="20"/>
        </w:rPr>
        <w:t xml:space="preserve">. 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(including the reasonable fees and expenses of its agents and counsel), be for the ratable benefit of the Holders of the Securities and coupons in respect of which such judgment has been recovered. The Trustee shall be entitled to participate, in its capacity as Trustee, on behalf of (and at the written request of) the Holders, as a member of any official committee of creditors in the matters it deems advisable.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Application of Money Collected</w:t>
      </w:r>
      <w:r>
        <w:rPr>
          <w:rFonts w:ascii="Times New Roman" w:hAnsi="Times New Roman"/>
          <w:sz w:val="20"/>
        </w:rPr>
        <w:t xml:space="preserve">. 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and any agent hereunder under Section 6.07;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then due and unpaid for principal of (and premium, if any) and interest, if any, on the Securities and coupons in respect of which or for the benefit of which such money has been collected, ratably, without preference or priority of any kind, according to the amounts due and payable on such Securities and coupons for principal (and premium, if any) and interest, if any,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The balance, if any,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Limitation on Suits</w:t>
      </w:r>
      <w:r>
        <w:rPr>
          <w:rFonts w:ascii="Times New Roman" w:hAnsi="Times New Roman"/>
          <w:sz w:val="20"/>
        </w:rPr>
        <w:t xml:space="preserve">. No Holder of any Security of any series or any related coupons shall have any right to institute any proceeding, judicial or otherwise, with respect to this Indenture, or for the appointment of a receiver or trustee, or for any other remedy hereunder: unless </w:t>
      </w:r>
    </w:p>
    <w:p>
      <w:pPr>
        <w:pStyle w:val="TextBody"/>
        <w:bidi w:val="0"/>
        <w:spacing w:before="24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have offered to the Trustee indemnity and/or security satisfactory to the Trustee against the costs, expenses and liabilities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and/or security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of Holders of Securities of such series shall have any right in any manner whatever by virtue of, or by availing of, any provision of this Indenture to affect, disturb or prejudice the rights of any other such Holders of, or to obtain or to seek to obtain priority or preference over any other such Holders or to enforce any right under this Indenture, except in the manner herein provided and for the equal and ratable benefit of all such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i/>
          <w:sz w:val="20"/>
        </w:rPr>
        <w:t>Unconditional Right of Holders to Receive Principal, Premium and Interest</w:t>
      </w:r>
      <w:r>
        <w:rPr>
          <w:rFonts w:ascii="Times New Roman" w:hAnsi="Times New Roman"/>
          <w:sz w:val="20"/>
        </w:rPr>
        <w:t xml:space="preserve">. Notwithstanding any other provision in this Indenture, the Holder of any Security or coupon shall have the right, which is absolute and unconditional, to receive payment of the principal of (and premium, if any) and (subject to Sections 3.05 and 3.07) interest, if any, on such security or payment of such coupon on the Stated Maturity or Maturities expressed in such Security or coupon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i/>
          <w:sz w:val="20"/>
        </w:rPr>
        <w:t>Restoration of Rights and Remedies</w:t>
      </w:r>
      <w:r>
        <w:rPr>
          <w:rFonts w:ascii="Times New Roman" w:hAnsi="Times New Roman"/>
          <w:sz w:val="20"/>
        </w:rPr>
        <w:t xml:space="preserve">. If the Trustee or any Holder of any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such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Rights and Remedies Cumulative</w:t>
      </w:r>
      <w:r>
        <w:rPr>
          <w:rFonts w:ascii="Times New Roman" w:hAnsi="Times New Roman"/>
          <w:sz w:val="20"/>
        </w:rPr>
        <w:t xml:space="preserve">.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i/>
          <w:sz w:val="20"/>
        </w:rPr>
        <w:t>Delay or Omission Not Waiver</w:t>
      </w:r>
      <w:r>
        <w:rPr>
          <w:rFonts w:ascii="Times New Roman" w:hAnsi="Times New Roman"/>
          <w:sz w:val="20"/>
        </w:rPr>
        <w:t xml:space="preserve">.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of Securities or coupons may be exercised from time to time, and as often as may be deemed expedient, by the Trustee or by the Holders of Securities or coupons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i/>
          <w:sz w:val="20"/>
        </w:rPr>
        <w:t xml:space="preserve">Control by Holders. </w:t>
      </w:r>
      <w:r>
        <w:rPr>
          <w:rFonts w:ascii="Times New Roman" w:hAnsi="Times New Roman"/>
          <w:sz w:val="20"/>
        </w:rPr>
        <w:t xml:space="preserve">Subject to Section 6.03(e),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24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need not take any action which might involve it in personal liability or be unduly prejudicial to the Holders of Securities of such series not joining therein (it being understood that the Trustee does not have an affirmative duty to ascertain whether or not such actions or forbearances are unduly prejudicial to such Holders); and </w:t>
      </w:r>
    </w:p>
    <w:p>
      <w:pPr>
        <w:pStyle w:val="TextBody"/>
        <w:bidi w:val="0"/>
        <w:spacing w:before="240" w:after="0"/>
        <w:jc w:val="left"/>
        <w:rPr>
          <w:rFonts w:ascii="Times New Roman" w:hAnsi="Times New Roman"/>
          <w:sz w:val="20"/>
        </w:rPr>
      </w:pPr>
      <w:r>
        <w:rPr>
          <w:rFonts w:ascii="Times New Roman" w:hAnsi="Times New Roman"/>
          <w:sz w:val="20"/>
        </w:rPr>
        <w:t xml:space="preserve">(d) prior to taking any such action hereunder, the Trustee may demand security and/or indemnity satisfactory to it in accordance with Section 6.02 hereof.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shall impair the right of the Trustee in its discretion to take any action deemed proper by the Trustee and which is not inconsistent with such direction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i/>
          <w:sz w:val="20"/>
        </w:rPr>
        <w:t>Waiver of Past Defaults</w:t>
      </w:r>
      <w:r>
        <w:rPr>
          <w:rFonts w:ascii="Times New Roman" w:hAnsi="Times New Roman"/>
          <w:sz w:val="20"/>
        </w:rPr>
        <w:t xml:space="preserve">. The Holders of not less than a majority in principal amount of the Outstanding Securities of any series may on behalf of the Holders of all the Securities of such series and any related coupons waive any past default hereunder with respect to the Securities of such series and its consequences, except a default: </w:t>
      </w:r>
    </w:p>
    <w:p>
      <w:pPr>
        <w:pStyle w:val="TextBody"/>
        <w:bidi w:val="0"/>
        <w:spacing w:before="120" w:after="0"/>
        <w:jc w:val="left"/>
        <w:rPr>
          <w:rFonts w:ascii="Times New Roman" w:hAnsi="Times New Roman"/>
          <w:sz w:val="20"/>
        </w:rPr>
      </w:pPr>
      <w:r>
        <w:rPr>
          <w:rFonts w:ascii="Times New Roman" w:hAnsi="Times New Roman"/>
          <w:sz w:val="20"/>
        </w:rPr>
        <w:t xml:space="preserve">(a) in the payment of the principal of (or premium, if any) or interest, if any, on any Securities of such series,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a covenant or provision hereof which under Article 9 cannot be modified or amended without the consent of the Holder of each Outstanding Security of such series affected.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i/>
          <w:sz w:val="20"/>
        </w:rPr>
        <w:t>Undertaking For Costs</w:t>
      </w:r>
      <w:r>
        <w:rPr>
          <w:rFonts w:ascii="Times New Roman" w:hAnsi="Times New Roman"/>
          <w:sz w:val="20"/>
        </w:rPr>
        <w:t xml:space="preserve">. All parties to this Indenture agree, and each Holder of any Security or coupon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for the merits and good faith of the claims or defenses made by such party litigant; but the provisions of this Section shall not apply to any suit instituted by the Trustee, or to any suit instituted by any Holder, or group of Holders, holding in the aggregate more than 10% in principal amount of the Outstanding Securities of any series, or to any suit instituted by any Holder of any Security or coupon for the enforcement of the payment of the principal of (or premium, if any) or interest, if any, on any Security or the payment of any coupon on or after the Stated Maturity or Maturities expressed in such Security or coupon (or, in the case of redemption, on or after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i/>
          <w:sz w:val="20"/>
        </w:rPr>
        <w:t>Waiver of Stay or Extension Laws</w:t>
      </w:r>
      <w:r>
        <w:rPr>
          <w:rFonts w:ascii="Times New Roman" w:hAnsi="Times New Roman"/>
          <w:sz w:val="20"/>
        </w:rPr>
        <w:t xml:space="preserve">.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Certain Duties and Responsibilities</w:t>
      </w:r>
      <w:r>
        <w:rPr>
          <w:rFonts w:ascii="Times New Roman" w:hAnsi="Times New Roman"/>
          <w:sz w:val="20"/>
        </w:rPr>
        <w:t xml:space="preserve">. (a) Except during the continuance of an Event of Default with respect to the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(i) the Trustee undertakes to perform such duties and only such duties as are specifically set forth in this Indenture with respect to such series, and the Trustee shall not be liable except for the performance of such duties and obligations as are specifically set forth in this Indenture, and no implied covenants or obligations shall be read into this Indenture against the Trustee;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absence of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In case an Event of Default has occurred with respect to Securities of any series and is continuing, the Trustee shall exercise such of the rights and powers vested in it by this Indenture with respect to such series of Securities, and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(c) No provision of this Indenture shall be construed to relieve the Trustee from liability for its own grossly negligent action, its own grossly negligent failure to act, or its own willful misconduct: </w:t>
      </w:r>
      <w:r>
        <w:rPr>
          <w:rFonts w:ascii="Times New Roman" w:hAnsi="Times New Roman"/>
          <w:i/>
          <w:sz w:val="20"/>
        </w:rPr>
        <w:t>except</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this Subsection shall not be construed to limit the effect of Subsection (a)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shall be proved that the Trustee was grossly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in good faith in accordance with the direction of the Holders of a majority in principal amount of the Outstanding Securities of any series, determined as provided in Section 5.12, relating to the time, method and place of conducting any proceeding for any remedy available to the Trustee, or exercising any trust or power conferred upon the Trustee, under this Indenture with respect to the Securities of such series; and </w:t>
      </w:r>
    </w:p>
    <w:p>
      <w:pPr>
        <w:pStyle w:val="TextBody"/>
        <w:bidi w:val="0"/>
        <w:spacing w:before="120" w:after="0"/>
        <w:jc w:val="left"/>
        <w:rPr>
          <w:rFonts w:ascii="Times New Roman" w:hAnsi="Times New Roman"/>
          <w:sz w:val="20"/>
        </w:rPr>
      </w:pPr>
      <w:r>
        <w:rPr>
          <w:rFonts w:ascii="Times New Roman" w:hAnsi="Times New Roman"/>
          <w:sz w:val="20"/>
        </w:rPr>
        <w:t xml:space="preserve">(iv)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and/or security against such risk or liability is not assured to it.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Indenture relating to the conduct or affecting the liability of or affording protection to the Trustee shall be subject to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Notice of Defaults</w:t>
      </w:r>
      <w:r>
        <w:rPr>
          <w:rFonts w:ascii="Times New Roman" w:hAnsi="Times New Roman"/>
          <w:sz w:val="20"/>
        </w:rPr>
        <w:t xml:space="preserve">. Within 90 days after the occurrence of any default hereunder with respect to the Securities of any series, the Trustee shall transmit in the manner and to the extent provided in Section 7.03(c), notice of such default hereunder actually known to a Responsible Officer of the Trustee, unless such default shall have been cured or waived;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premium, if any) or interest, if any, on any Security of such series, or in the payment of any sinking fund installment with respect to Securities of such series, the Trustee shall be protected in withholding such notice if and so long as it in good faith determines that the withholding of such notice is in the interest of the Holders of Securities of such series,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case of any default of the character specified in Section 5.01(d)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Certain Rights of Trustee</w:t>
      </w:r>
      <w:r>
        <w:rPr>
          <w:rFonts w:ascii="Times New Roman" w:hAnsi="Times New Roman"/>
          <w:sz w:val="20"/>
        </w:rPr>
        <w:t xml:space="preserve">. Except as otherwise provided in Section 6.01: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fully protected in acting or refraining from acting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or direction of the Company mentioned herein shall be sufficiently evidenced by a Company Request or Company Order or as otherwise expressly provided herein and any resolution of the Board of Directors may be sufficiently evidenced by a Board Resolution;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Trustee shall deem it desirable that a matter be proved or established prior to taking, suffering or omitting any action hereunder, the Trustee (unless other evidence be herein specifically prescribed) may, in the absence of willful misconduct on its part, rely upon an Opinion of Counsel or an Officers’ Certificate and such Opinion of Counsel or Officers’ Certificate, shall be full warrant to the Trustee for any action taken, suffered or omitted by it under the provisions of this Indenture upon the faith thereof and in circumstances therewith; </w:t>
      </w:r>
    </w:p>
    <w:p>
      <w:pPr>
        <w:pStyle w:val="TextBody"/>
        <w:bidi w:val="0"/>
        <w:spacing w:before="240" w:after="0"/>
        <w:jc w:val="left"/>
        <w:rPr>
          <w:rFonts w:ascii="Times New Roman" w:hAnsi="Times New Roman"/>
          <w:sz w:val="20"/>
        </w:rPr>
      </w:pPr>
      <w:r>
        <w:rPr>
          <w:rFonts w:ascii="Times New Roman" w:hAnsi="Times New Roman"/>
          <w:sz w:val="20"/>
        </w:rPr>
        <w:t xml:space="preserve">(d) 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 direction of any of the Holders pursuant to this Indenture, unless such Holders of Securities of any series or related coupons shall have offered to the Trustee security and/or indemnity satisfactory to the Trustee against the costs, expenses and liabilities which might be incurred by it in compliance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calculation or quotation, instrument, opinion, report, notice, request, direction, consent, order, bond, debenture, note, coupon, other evidence of indebtedness or other paper or document, but the Trustee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or additional liability of any kind by reason of such inquiry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not be deemed to have notice of any Default or Event of Default unless a Responsible Officer of the Trustee has received written notice of any event which is in fact such a default or Event of Default is received by the Trustee at the Corporate Trust Office of the Trustee, and such notice references the Securities, the Company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(k) any permissive right or power attributable to the Trustee under this Indenture or under any supplement hereto shall not be construed as a mandatory duty or obligation and the Trustee shall not be answerable for other than its own negligent action, its own negligent failure to act or its own willful misconduct with respect to such permissive rights; </w:t>
      </w:r>
    </w:p>
    <w:p>
      <w:pPr>
        <w:pStyle w:val="TextBody"/>
        <w:bidi w:val="0"/>
        <w:spacing w:before="240" w:after="0"/>
        <w:jc w:val="left"/>
        <w:rPr>
          <w:rFonts w:ascii="Times New Roman" w:hAnsi="Times New Roman"/>
          <w:sz w:val="20"/>
        </w:rPr>
      </w:pPr>
      <w:r>
        <w:rPr>
          <w:rFonts w:ascii="Times New Roman" w:hAnsi="Times New Roman"/>
          <w:sz w:val="20"/>
        </w:rPr>
        <w:t xml:space="preserve">(l)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Trustee shall not be required to expend or risk its own funds, give any bond or surety in respect of the performance of its powers and duties hereunder, or otherwise incur any financial liability in the performance of any of its duties hereunder, or in the exercise of any of its rights or powers, if it shall have reasonable grounds for believing that repayment of such funds or adequate indemnity and/or security against such risk or liability is not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Not Responsible for Recitals or Issuance of Securities</w:t>
      </w:r>
      <w:r>
        <w:rPr>
          <w:rFonts w:ascii="Times New Roman" w:hAnsi="Times New Roman"/>
          <w:sz w:val="20"/>
        </w:rPr>
        <w:t xml:space="preserve">.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or the coupons, except that the Trustee represents that it is duly authorized to execute and deliver this Indenture, authenticate the Securities and perform its obligations hereunder and that the statements made by it in its Statements of Eligibility on Form T-1 supplied to the Company are true and accurate. The Trustee or any Authenticating Agent shall not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 (other than the Form T-1).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May Hold Securities</w:t>
      </w:r>
      <w:r>
        <w:rPr>
          <w:rFonts w:ascii="Times New Roman" w:hAnsi="Times New Roman"/>
          <w:sz w:val="20"/>
        </w:rPr>
        <w:t xml:space="preserve">. The Trustee, any Paying Agent, any Security Registrar or any other agent of the Company, in its individual or any other capacity, may become the owner or pledgee of Securities or coupons and, subject to Sections 6.08 and 6.13, may otherwise deal with the Company with the same rights it would have if it were not Trustee, Paying Agent, Security Registrar or such other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Money Held in Trust</w:t>
      </w:r>
      <w:r>
        <w:rPr>
          <w:rFonts w:ascii="Times New Roman" w:hAnsi="Times New Roman"/>
          <w:sz w:val="20"/>
        </w:rPr>
        <w:t xml:space="preserve">. Money held by the Trustee in trust hereunder need not be segregated from other funds except to the extent required by law. The Trustee shall be under no liability for interest on any money received by it hereunder except as otherwise agreed in writing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Compensation and Reimbursement</w:t>
      </w:r>
      <w:r>
        <w:rPr>
          <w:rFonts w:ascii="Times New Roman" w:hAnsi="Times New Roman"/>
          <w:sz w:val="20"/>
        </w:rPr>
        <w:t xml:space="preserve">. The Company agrees: </w:t>
      </w:r>
    </w:p>
    <w:p>
      <w:pPr>
        <w:pStyle w:val="TextBody"/>
        <w:bidi w:val="0"/>
        <w:spacing w:before="120" w:after="0"/>
        <w:jc w:val="left"/>
        <w:rPr>
          <w:rFonts w:ascii="Times New Roman" w:hAnsi="Times New Roman"/>
          <w:sz w:val="20"/>
        </w:rPr>
      </w:pPr>
      <w:r>
        <w:rPr>
          <w:rFonts w:ascii="Times New Roman" w:hAnsi="Times New Roman"/>
          <w:sz w:val="20"/>
        </w:rPr>
        <w:t xml:space="preserve">(a) to pay to the Trustee from time to time compensation for all services rendered by it hereunder (which compensation shall not be limited by any provision of law in regard to the compensation of a trustee of an express trust);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provided herein, to reimburse the Trustee upon its request for all expenses, disbursements and advances incurred or made by the Trustee in accordance with any provision of this Indenture (including the compensation and the expenses and disbursements of its agents and counsel), except any such expense, disbursement or advance as may be attributable to its negligence or willful misconduct (as finally determined by a court of competent jurisdiction in a non-appealable decision);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indemnify the Trustee, its agents, officers, directors, employees and counsel for, and to hold them harmless against, any loss, liability or expense incurred without negligence or willful misconduct on their part (as finally determined by a court of competent jurisdiction in a non-appealable decision);, arising out of or in connection with the acceptance or administration of the trust or trusts hereunder, including the costs and expenses of defending themselves against any claim or liability in connection with the exercise or performance of any of their powers or duties hereunder (including the fees and expenses of its agents and counsel), whether asserted by any Holder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this Section shall constitute additional indebtedness hereunder and shall survive the satisfaction and discharges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5.01(e) or (f) occurs, the expenses and the compensation for the services (including the fees and expenses of its agents and counsel)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and the resignation and removal of the Trustee and the satisfaction, termination or discharge of this Indenture. The indemnification provided in this Section 6.07 shall also extend to any successor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Disqualification; Conflicting Interests</w:t>
      </w:r>
      <w:r>
        <w:rPr>
          <w:rFonts w:ascii="Times New Roman" w:hAnsi="Times New Roman"/>
          <w:sz w:val="20"/>
        </w:rPr>
        <w:t xml:space="preserve">. If the Trustee has or shall acquire a conflicting interest within the meaning of the Trust Indenture Act, the Trustee shall either eliminate such interest or resign, to the extent and in the manner provided by, and subject to Section 310(b) of the Trust Indenture Act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Corporate Trustee Required; Eligibility</w:t>
      </w:r>
      <w:r>
        <w:rPr>
          <w:rFonts w:ascii="Times New Roman" w:hAnsi="Times New Roman"/>
          <w:sz w:val="20"/>
        </w:rPr>
        <w:t xml:space="preserve">. There shall at all times be a Trustee hereunder which shall be a corporation organized and doing business under the laws of the United States of America or of any State or the District of Columbia, authorized under such laws to exercise corporate trust powers, having a combined capital and surplus of at least $50,000,000, subject to supervision or examination by Federal, State or District of Columbia authority and having its Corporate Trust Office in the Borough of Manhattan, the City of New York. If the Trustee publishes reports of condition at least annually, pursuant to law or to the requirements of the aforesaid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Resignation and Removal; Appointment of Successor</w:t>
      </w:r>
      <w:r>
        <w:rPr>
          <w:rFonts w:ascii="Times New Roman" w:hAnsi="Times New Roman"/>
          <w:sz w:val="20"/>
        </w:rPr>
        <w:t xml:space="preserve">. (a) No resignation or removal of the Trustee and no appointment of a successor Trustee pursuant to this Article shall become effective until the acceptance of appointment by the successor Trustee under Section 6.11.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be removed at any time with respect to the Securities of any series by Act of the Holders of a majority in principal amount of the Outstanding Securities of such series delivered to the Trustee and to the Company. If any instrument of acceptance by a successor Trustee shall not have been delivered to the Trustee within 30 days after the giving of such notice of removal, the removed Trustee may petition, at the expense of the Company, any court of competent jurisdiction for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Section 310(b) of the Trust Indenture Act after written request therefor by the Company or by any Holder who has been a </w:t>
      </w:r>
      <w:r>
        <w:rPr>
          <w:rFonts w:ascii="Times New Roman" w:hAnsi="Times New Roman"/>
          <w:i/>
          <w:sz w:val="20"/>
        </w:rPr>
        <w:t>bona fide</w:t>
      </w:r>
      <w:r>
        <w:rPr>
          <w:rFonts w:ascii="Times New Roman" w:hAnsi="Times New Roman"/>
          <w:sz w:val="20"/>
        </w:rPr>
        <w:t xml:space="preserv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cease to be eligible under Section 6.09 and shall fail to resign after written request therefor by the Company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(i) the Company by a Board Resolution may remove the Trustee with respect to all Securities, or (ii) subject to Section 5.14, any Holder who has been a </w:t>
      </w:r>
      <w:r>
        <w:rPr>
          <w:rFonts w:ascii="Times New Roman" w:hAnsi="Times New Roman"/>
          <w:i/>
          <w:sz w:val="20"/>
        </w:rPr>
        <w:t>bona fide</w:t>
      </w:r>
      <w:r>
        <w:rPr>
          <w:rFonts w:ascii="Times New Roman" w:hAnsi="Times New Roman"/>
          <w:sz w:val="20"/>
        </w:rPr>
        <w:t xml:space="preserve"> Holder of a Security for at least six months may, on behalf of himself and all others similarly situated, petition any court of competent jurisdiction for the removal of the Trustee with respect to all Securities and the appointment of a successor Trustee or Trustees.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remove the Trustee with or without cause if the Company so notifies the Trustee in writing six months in advance of such removal date and if no Event of Default occurs during the six-month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that series and accepted appointment in the manner required by Section 6.11, any Holder of a Security who has been a </w:t>
      </w:r>
      <w:r>
        <w:rPr>
          <w:rFonts w:ascii="Times New Roman" w:hAnsi="Times New Roman"/>
          <w:i/>
          <w:sz w:val="20"/>
        </w:rPr>
        <w:t>bona fide</w:t>
      </w:r>
      <w:r>
        <w:rPr>
          <w:rFonts w:ascii="Times New Roman" w:hAnsi="Times New Roman"/>
          <w:sz w:val="20"/>
        </w:rPr>
        <w:t xml:space="preserve"> Holder of a Security of such series for at least six months, subject to Section 5.14, may, on behalf of himself and all others similarly situated, petition any court of competent jurisdiction for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(g) For the avoidance of doubt, notwithstanding the replacement or removal of the Trustee pursuant to Section 6.10, the Company’s obligations under Section 6.07 shall continue for the benefit of the retiring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Acceptance of Appointment by Successor</w:t>
      </w:r>
      <w:r>
        <w:rPr>
          <w:rFonts w:ascii="Times New Roman" w:hAnsi="Times New Roman"/>
          <w:sz w:val="20"/>
        </w:rPr>
        <w:t xml:space="preserve">. (a)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the charges due it pursuant to Section 6.07,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Merger, Conversion, Consolidation or Succession to Business</w:t>
      </w:r>
      <w:r>
        <w:rPr>
          <w:rFonts w:ascii="Times New Roman" w:hAnsi="Times New Roman"/>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a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Preferential Collection of Claims Against Company</w:t>
      </w:r>
      <w:r>
        <w:rPr>
          <w:rFonts w:ascii="Times New Roman" w:hAnsi="Times New Roman"/>
          <w:sz w:val="20"/>
        </w:rPr>
        <w:t xml:space="preserve">. If and when the Trustee shall be or become a creditor of the Company (or any other obligor upon the Securities), the Trustee shall be subject to the provisions of the Trust Indenture Act regarding the collection of claims against the Company (or any such other obligor). A Trustee who has resigned or been removed shall be subject to Section 311(a) of the Trust Indenture Act to the extent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i/>
          <w:sz w:val="20"/>
        </w:rPr>
        <w:t>Appointment of Authenticating Agent</w:t>
      </w:r>
      <w:r>
        <w:rPr>
          <w:rFonts w:ascii="Times New Roman" w:hAnsi="Times New Roman"/>
          <w:sz w:val="20"/>
        </w:rPr>
        <w:t xml:space="preserve">. The Trustee may appoint an Authenticating Agent or Agents with respect to one or more series of Securities which shall be authorized to act on behalf of the Trustee to authenticate Securities of such series issued upon original issue or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promptly give notice of such appointment to all Holders of Securities pursuant to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agrees to pay to each Authenticating Agent from time to time compensation including reimbursement of its reasonable expenses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alternative certificate of authentication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 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Authenticating Agent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(at the expense of the Company) in accordance with this Section an Authenticating Agent having an office in a Place of Payment designated by the Company with respect to such series of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HOLDERS’ LISTS AND REPORTS BY TRUSTEE AND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Company to Furnish Trustee Names and Addresses of Holders of Registered Securities</w:t>
      </w:r>
      <w:r>
        <w:rPr>
          <w:rFonts w:ascii="Times New Roman" w:hAnsi="Times New Roman"/>
          <w:sz w:val="20"/>
        </w:rPr>
        <w:t xml:space="preserve">. The Company will furnish or cause to be furnished to the Trustee with respect to the Registered Securities of each series: </w:t>
      </w:r>
    </w:p>
    <w:p>
      <w:pPr>
        <w:pStyle w:val="TextBody"/>
        <w:bidi w:val="0"/>
        <w:spacing w:before="120" w:after="0"/>
        <w:jc w:val="left"/>
        <w:rPr>
          <w:rFonts w:ascii="Times New Roman" w:hAnsi="Times New Roman"/>
          <w:sz w:val="20"/>
        </w:rPr>
      </w:pPr>
      <w:r>
        <w:rPr>
          <w:rFonts w:ascii="Times New Roman" w:hAnsi="Times New Roman"/>
          <w:sz w:val="20"/>
        </w:rPr>
        <w:t xml:space="preserve">(a) semi-annually, not more than fifteen days after each Regular Record Date, or in the case of any series of Securities on which semi-annual interest is not payable, not more than 15 days after such semi-annual dates as may be specified by the Trustee, a list, in such form as the Trustee may reasonably require, of the names and addresses of the Holders of such Registered Securities as of such Regular Record Date or such semiannual date, as the case may be,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the Trustee is the Security Registrar, no such list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Preservation of Information; Communications to Holders</w:t>
      </w:r>
      <w:r>
        <w:rPr>
          <w:rFonts w:ascii="Times New Roman" w:hAnsi="Times New Roman"/>
          <w:sz w:val="20"/>
        </w:rPr>
        <w:t xml:space="preserve">. (a) The Trustee shall preserve, in as current a form as is reasonably practicable, the names and addresses of Holders of Registered Securities (a) contained in the most recent list furnished to the Trustee as provided in Section 7.01, (b) received by the Trustee in its capacity as Security Registrar (or Paying Agent, if so acting) and (c) filed with it during the two preceding years pursuant to Section 7.03(c). The Trustee may destroy any list furnished to it as provided in Section 7.01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(b) If three or more Holders of Securities of any series (hereinafter referred to as “applicants”) apply in writing to the Trustee, and furnish to the Trustee reasonable proof that each such applicant has owned a Security for a period of at least six months preceding the date of such application, and such application states that the applicants desire to communicate with other Holders of Securities of such series with respect to their rights under this Indenture or under the Securities of such series and is accompanied by a copy of the form of proxy or other communication which such applicants propose to transmit, then the Trustee shall within five business days after the receipt of such application, at its election, either </w:t>
      </w:r>
    </w:p>
    <w:p>
      <w:pPr>
        <w:pStyle w:val="TextBody"/>
        <w:bidi w:val="0"/>
        <w:spacing w:before="120" w:after="0"/>
        <w:jc w:val="left"/>
        <w:rPr>
          <w:rFonts w:ascii="Times New Roman" w:hAnsi="Times New Roman"/>
          <w:sz w:val="20"/>
        </w:rPr>
      </w:pPr>
      <w:r>
        <w:rPr>
          <w:rFonts w:ascii="Times New Roman" w:hAnsi="Times New Roman"/>
          <w:sz w:val="20"/>
        </w:rPr>
        <w:t xml:space="preserve">(i) afford such applicants access to the information preserved at the time by the Trustee in accordance with Section 7.02(a), or </w:t>
      </w:r>
    </w:p>
    <w:p>
      <w:pPr>
        <w:pStyle w:val="TextBody"/>
        <w:bidi w:val="0"/>
        <w:spacing w:before="120" w:after="0"/>
        <w:jc w:val="left"/>
        <w:rPr>
          <w:rFonts w:ascii="Times New Roman" w:hAnsi="Times New Roman"/>
          <w:sz w:val="20"/>
        </w:rPr>
      </w:pPr>
      <w:r>
        <w:rPr>
          <w:rFonts w:ascii="Times New Roman" w:hAnsi="Times New Roman"/>
          <w:sz w:val="20"/>
        </w:rPr>
        <w:t xml:space="preserve">(ii) inform such applicants as to the approximate number of Holders of Registered Securities of such series whose names and addresses appear in the information preserved at the time by the Trustee in accordance with Section 7.02(a), and as to the approximate cost of mailing to such Holders of Registered Securities of such series the form of proxy or other communication, if any, specified in such application.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shall elect not to afford such applicants access to such information, the Trustee shall, upon the written request of such applicants, mail to each Holder of Registered Securities of such series whose name and address appears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Registered Securities of such series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sustaining one or more of such objections, the Commission shall find, after notice and opportunity for hearing, that all the objections so sustained have been met and shall enter an order so declaring, the Trustee shall mail copies of such material to all such Holders of Registered Securities of such series with reasonable promptness after the entry of such order and the renewal of such tender; otherwise the Trustee shall be relieved of any obligation or duty to such applicants respecting their application. </w:t>
      </w:r>
    </w:p>
    <w:p>
      <w:pPr>
        <w:pStyle w:val="TextBody"/>
        <w:bidi w:val="0"/>
        <w:spacing w:before="240" w:after="0"/>
        <w:jc w:val="left"/>
        <w:rPr>
          <w:rFonts w:ascii="Times New Roman" w:hAnsi="Times New Roman"/>
          <w:sz w:val="20"/>
        </w:rPr>
      </w:pPr>
      <w:r>
        <w:rPr>
          <w:rFonts w:ascii="Times New Roman" w:hAnsi="Times New Roman"/>
          <w:sz w:val="20"/>
        </w:rPr>
        <w:t xml:space="preserve">(c) Every Holder of Securities or coupons, by receiving and holding the same, agrees with the Company and the Trustee that neither the Company nor the Trustee, nor any agent of the Company or the Trustee shall be held accountable by reason of the disclosure of any such information as to the names and addresses of the Holders of Registered Securities in accordance with Section 7.02(b), regardless of the source from which such information was derived, and that the Trustee shall not be held accountable by reason of mailing any material pursuant to a request made under Section 7.02(b).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Reports by Trustee</w:t>
      </w:r>
      <w:r>
        <w:rPr>
          <w:rFonts w:ascii="Times New Roman" w:hAnsi="Times New Roman"/>
          <w:sz w:val="20"/>
        </w:rPr>
        <w:t xml:space="preserve">. (a)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September 1 following the date of this Indenture deliver to Holders a report, dated as of such September 1, which complies with the provisions of such Section 313(a).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comply with Sections 313(b) and 313(c)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 copy of such report shall, at the time of such transmission to the Holders of Securities, be filed by the Trustee with the Company, with each securities exchange upon which any of the Securities are listed (if so listed) and also with the Commission. The Company agrees to notify the Trustee when any Securities become listed on any stock exchange or market center.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Reports by Company</w:t>
      </w:r>
      <w:r>
        <w:rPr>
          <w:rFonts w:ascii="Times New Roman" w:hAnsi="Times New Roman"/>
          <w:sz w:val="20"/>
        </w:rPr>
        <w:t xml:space="preserve">. The Company will: </w:t>
      </w:r>
    </w:p>
    <w:p>
      <w:pPr>
        <w:pStyle w:val="TextBody"/>
        <w:bidi w:val="0"/>
        <w:spacing w:before="120" w:after="0"/>
        <w:jc w:val="left"/>
        <w:rPr>
          <w:rFonts w:ascii="Times New Roman" w:hAnsi="Times New Roman"/>
          <w:sz w:val="20"/>
        </w:rPr>
      </w:pPr>
      <w:r>
        <w:rPr>
          <w:rFonts w:ascii="Times New Roman" w:hAnsi="Times New Roman"/>
          <w:sz w:val="20"/>
        </w:rPr>
        <w:t xml:space="preserve">(a)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said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r>
        <w:rPr>
          <w:rFonts w:ascii="Times New Roman" w:hAnsi="Times New Roman"/>
          <w:i/>
          <w:sz w:val="20"/>
        </w:rPr>
        <w:t>provided</w:t>
      </w:r>
      <w:r>
        <w:rPr>
          <w:rFonts w:ascii="Times New Roman" w:hAnsi="Times New Roman"/>
          <w:sz w:val="20"/>
        </w:rPr>
        <w:t xml:space="preserve"> that the Company shall be deemed to have filed with the Trustee any annual report, information, document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 that the Company shall have filed with the Commission that is publicly available via the Commission’s Electronic Data Gathering, Analysis and Retrieval (EDGAR) system or any successor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further </w:t>
      </w:r>
      <w:r>
        <w:rPr>
          <w:rFonts w:ascii="Times New Roman" w:hAnsi="Times New Roman"/>
          <w:sz w:val="20"/>
        </w:rPr>
        <w:t xml:space="preserve">that the Trustee shall have no obligation whatsoever to determine whether or not such information, documents or reports have been filed pursuant to the EDGAR system (or its successor). </w:t>
      </w:r>
    </w:p>
    <w:p>
      <w:pPr>
        <w:pStyle w:val="TextBody"/>
        <w:bidi w:val="0"/>
        <w:spacing w:before="240" w:after="0"/>
        <w:jc w:val="left"/>
        <w:rPr>
          <w:rFonts w:ascii="Times New Roman" w:hAnsi="Times New Roman"/>
          <w:sz w:val="20"/>
        </w:rPr>
      </w:pPr>
      <w:r>
        <w:rPr>
          <w:rFonts w:ascii="Times New Roman" w:hAnsi="Times New Roman"/>
          <w:sz w:val="20"/>
        </w:rPr>
        <w:t xml:space="preserve">(b) 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 </w:t>
      </w:r>
    </w:p>
    <w:p>
      <w:pPr>
        <w:pStyle w:val="TextBody"/>
        <w:bidi w:val="0"/>
        <w:spacing w:before="240" w:after="0"/>
        <w:jc w:val="left"/>
        <w:rPr>
          <w:rFonts w:ascii="Times New Roman" w:hAnsi="Times New Roman"/>
          <w:sz w:val="20"/>
        </w:rPr>
      </w:pPr>
      <w:r>
        <w:rPr>
          <w:rFonts w:ascii="Times New Roman" w:hAnsi="Times New Roman"/>
          <w:sz w:val="20"/>
        </w:rPr>
        <w:t xml:space="preserve">(c) transmit by mail to all Holders, within 30 days after the filing thereof with the Trustee, in the manner and to the extent provided in Section 7.03(c) with respect to reports pursuant to Section 7.03(a), such summaries of any information, documents and reports required to be filed by the Company pursuant to paragraphs (a) and (b) of this Section as may be required by rules and regulations prescribed from time to time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Delivery of such reports, information and documents referenced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CONSOLIDATION, MERGER, CONVEYANCE, TRANSFER OR LEASE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Company May Consolidate, Etc., Only on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consolidate with or merge into any other Person or sell, convey, transfer or lease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(a) the Person formed by such consolidation or into which the Company is merged or the Person which acquires by sale, conveyance, transfer or lease the properties and assets of the Company substantially as an entirety shall expressly assume, by an indenture supplemental hereto, executed and delivered to the Trustee, in form satisfactory to the Trustee, the due and punctual payment of the principal of (and premium, if any) and interest, if any (including all additional amounts, if any, payable pursuant to Section 11.09), on all the Securities and the performance of every covenant of this Indenture on the part of the Company to be performed or observed;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Successor Substituted</w:t>
      </w:r>
      <w:r>
        <w:rPr>
          <w:rFonts w:ascii="Times New Roman" w:hAnsi="Times New Roman"/>
          <w:sz w:val="20"/>
        </w:rPr>
        <w:t xml:space="preserve">. Upon any consolidation or merger by the Company with or into any other Person, or any sale, conveyance, transfer or lease by the Company of the properties and assets of the Company substantially as an entirety to any Person in accordance with Section 8.01, the successor Person formed by such consolidation or into which the Company is merged or to which such sale, conveyance, transfer or lease is made shall succeed to, and be substituted for, and may exercise every right and power of, the Company under this Indenture with the same effect as if such successor Person had been named as the Company herein; and thereafter, the Company (which term shall for this purpose mean the Person named as the “Company” in the first paragraph of this Indenture or any successor Person which shall theretofore become such in the manner described in Section 8.01) shall be discharged from all obligations and covenants under this Indenture and the Securities and coupons, and may be dissolved and liquidated.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Supplemental Indentures Without Consent of Holders</w:t>
      </w:r>
      <w:r>
        <w:rPr>
          <w:rFonts w:ascii="Times New Roman" w:hAnsi="Times New Roman"/>
          <w:sz w:val="20"/>
        </w:rPr>
        <w:t xml:space="preserve">. Without the consent of any Holder of Securities, the Company, when authorized by or pursuant to a Board Resolution, and the Trustee, at any time and from time to time, may enter into one or more indentures supplemental hereto, in form satisfactory to the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evidence the succession of another Person to the Company and the assumption by any such successor of the covenants of the Company herein and in the Securities contained; or </w:t>
      </w:r>
    </w:p>
    <w:p>
      <w:pPr>
        <w:pStyle w:val="TextBody"/>
        <w:bidi w:val="0"/>
        <w:spacing w:before="240" w:after="0"/>
        <w:jc w:val="left"/>
        <w:rPr>
          <w:rFonts w:ascii="Times New Roman" w:hAnsi="Times New Roman"/>
          <w:sz w:val="20"/>
        </w:rPr>
      </w:pPr>
      <w:r>
        <w:rPr>
          <w:rFonts w:ascii="Times New Roman" w:hAnsi="Times New Roman"/>
          <w:sz w:val="20"/>
        </w:rPr>
        <w:t xml:space="preserve">(b)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to add any additional Events of Default (and if such Events of Default are to be for the benefit of less than all series of Securities, stating that such Events of Default are expressly being included solely for the benefit of such series);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add to or change any of the provisions of this Indenture to provide that Bearer Securities may be registrable as to principal, to change or eliminate any restrictions on the payment of principal (or premium, if any) or interest, if any, on Bearer Securities, to permit Bearer Securities to be issued for Bearer Securities of other authorized denominations or to permit the issuance of Securities in uncertificated form, provided that any such action shall not adversely affect the interests of the Holders of Securities of any series or any related coupons in any material respect; or </w:t>
      </w:r>
    </w:p>
    <w:p>
      <w:pPr>
        <w:pStyle w:val="TextBody"/>
        <w:bidi w:val="0"/>
        <w:spacing w:before="240" w:after="0"/>
        <w:jc w:val="left"/>
        <w:rPr>
          <w:rFonts w:ascii="Times New Roman" w:hAnsi="Times New Roman"/>
          <w:sz w:val="20"/>
        </w:rPr>
      </w:pPr>
      <w:r>
        <w:rPr>
          <w:rFonts w:ascii="Times New Roman" w:hAnsi="Times New Roman"/>
          <w:sz w:val="20"/>
        </w:rPr>
        <w:t xml:space="preserve">(e) 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 </w:t>
      </w:r>
    </w:p>
    <w:p>
      <w:pPr>
        <w:pStyle w:val="TextBody"/>
        <w:bidi w:val="0"/>
        <w:spacing w:before="240" w:after="0"/>
        <w:jc w:val="left"/>
        <w:rPr>
          <w:rFonts w:ascii="Times New Roman" w:hAnsi="Times New Roman"/>
          <w:sz w:val="20"/>
        </w:rPr>
      </w:pPr>
      <w:r>
        <w:rPr>
          <w:rFonts w:ascii="Times New Roman" w:hAnsi="Times New Roman"/>
          <w:sz w:val="20"/>
        </w:rPr>
        <w:t xml:space="preserve">(f) to secure the Securities and related coupons; or </w:t>
      </w:r>
    </w:p>
    <w:p>
      <w:pPr>
        <w:pStyle w:val="TextBody"/>
        <w:bidi w:val="0"/>
        <w:spacing w:before="240" w:after="0"/>
        <w:jc w:val="left"/>
        <w:rPr>
          <w:rFonts w:ascii="Times New Roman" w:hAnsi="Times New Roman"/>
          <w:sz w:val="20"/>
        </w:rPr>
      </w:pPr>
      <w:r>
        <w:rPr>
          <w:rFonts w:ascii="Times New Roman" w:hAnsi="Times New Roman"/>
          <w:sz w:val="20"/>
        </w:rPr>
        <w:t xml:space="preserve">(g) to establish the form or terms of Securities of any series and related coupons as permitted by Section 2.01 and 3.01; or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with respect to the Securities of one or more series and/or to add or change any of the provisions of this Indenture as shall be necessary to provide for or facilitate the administration of the trusts hereunder by more than one Trustee, pursuant to the requirements of Section 6.11(b); or </w:t>
      </w:r>
    </w:p>
    <w:p>
      <w:pPr>
        <w:pStyle w:val="TextBody"/>
        <w:bidi w:val="0"/>
        <w:spacing w:before="240" w:after="0"/>
        <w:jc w:val="left"/>
        <w:rPr>
          <w:rFonts w:ascii="Times New Roman" w:hAnsi="Times New Roman"/>
          <w:sz w:val="20"/>
        </w:rPr>
      </w:pPr>
      <w:r>
        <w:rPr>
          <w:rFonts w:ascii="Times New Roman" w:hAnsi="Times New Roman"/>
          <w:sz w:val="20"/>
        </w:rPr>
        <w:t xml:space="preserve">(i) to cure any ambiguity, to correct or supplement any provision herein which may be defective or inconsistent with any other provision herein; or to make any other provisions with respect to matters or questions arising under this Indenture, </w:t>
      </w:r>
      <w:r>
        <w:rPr>
          <w:rFonts w:ascii="Times New Roman" w:hAnsi="Times New Roman"/>
          <w:i/>
          <w:sz w:val="20"/>
        </w:rPr>
        <w:t>provided</w:t>
      </w:r>
      <w:r>
        <w:rPr>
          <w:rFonts w:ascii="Times New Roman" w:hAnsi="Times New Roman"/>
          <w:sz w:val="20"/>
        </w:rPr>
        <w:t xml:space="preserve"> that such action shall not adversely affect the interests of the Holders of Securities of any series or any related coupons in any material respect; or </w:t>
      </w:r>
    </w:p>
    <w:p>
      <w:pPr>
        <w:pStyle w:val="TextBody"/>
        <w:bidi w:val="0"/>
        <w:spacing w:before="240" w:after="0"/>
        <w:jc w:val="left"/>
        <w:rPr>
          <w:rFonts w:ascii="Times New Roman" w:hAnsi="Times New Roman"/>
          <w:sz w:val="20"/>
        </w:rPr>
      </w:pPr>
      <w:r>
        <w:rPr>
          <w:rFonts w:ascii="Times New Roman" w:hAnsi="Times New Roman"/>
          <w:sz w:val="20"/>
        </w:rPr>
        <w:t xml:space="preserve">(j) to conform the text of this Indenture or any Security issued hereunder to any provision of the registration statement (including any prospectus, prospectus supplement or free writing prospectus filed with the Commission pursuant thereto) pursuant to which Securities were or may be sold to the extent such provision in the registration statement (including any prospectus, prospectus supplement or free writing prospectus filed with the Commission pursuant thereto) was intended to be a verbatim recitation of a provision in this Indenture or such Securities, as set forth in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Supplemental Indentures With Consent of Holders</w:t>
      </w:r>
      <w:r>
        <w:rPr>
          <w:rFonts w:ascii="Times New Roman" w:hAnsi="Times New Roman"/>
          <w:sz w:val="20"/>
        </w:rPr>
        <w:t xml:space="preserve">.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supplemental indenture shall, without the consent of the Holder of each Outstanding Security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(a) change the Stated Maturity of the principal of, or any installment of principal of or any interest on, any Security, or reduce the principal amount thereof or any rate of interest thereon or any premium payable upon the redemption thereof, or change any obligation of the Company to pay additional amounts pursuant to Section 11.09 (except as contemplated by Section 8.01(a) and permitted by Section 9.01(a)), or reduce the amount of the principal of an Original Issue Discount Security that would be due and payable upon a declaration of acceleration of the Stated Maturity thereof pursuant to Section 5.02, or change the method in which amounts of payments of principal or any interest thereon are determined, or change any Place of Payment, or change the coin or currency in which any Security or any premium or any interest thereon is payable, or impair the right to institute suit for the enforcement of any such payment on or after the Stated Maturity thereof (or, in the case of redemption, on or after the Redemption Date); or </w:t>
      </w:r>
    </w:p>
    <w:p>
      <w:pPr>
        <w:pStyle w:val="TextBody"/>
        <w:bidi w:val="0"/>
        <w:spacing w:before="240" w:after="0"/>
        <w:jc w:val="left"/>
        <w:rPr>
          <w:rFonts w:ascii="Times New Roman" w:hAnsi="Times New Roman"/>
          <w:sz w:val="20"/>
        </w:rPr>
      </w:pPr>
      <w:r>
        <w:rPr>
          <w:rFonts w:ascii="Times New Roman" w:hAnsi="Times New Roman"/>
          <w:sz w:val="20"/>
        </w:rPr>
        <w:t xml:space="preserve">(b) reduce the percentage in principal amount of the Outstanding Securities of any series, the consent of whose Holders is required for any such supplemental indenture, or the consent of whose Holders is required for any waiver (or compliance with certain provisions of this Indenture or certain defaults hereunder and their consequences) provided for in this Indenture; or </w:t>
      </w:r>
    </w:p>
    <w:p>
      <w:pPr>
        <w:pStyle w:val="TextBody"/>
        <w:bidi w:val="0"/>
        <w:spacing w:before="240" w:after="0"/>
        <w:jc w:val="left"/>
        <w:rPr>
          <w:rFonts w:ascii="Times New Roman" w:hAnsi="Times New Roman"/>
          <w:sz w:val="20"/>
        </w:rPr>
      </w:pPr>
      <w:r>
        <w:rPr>
          <w:rFonts w:ascii="Times New Roman" w:hAnsi="Times New Roman"/>
          <w:sz w:val="20"/>
        </w:rPr>
        <w:t xml:space="preserve">(c) modify any of the provisions of this Section, Section 5.13 or Section 11.08, except to increase any such percentage or to provide that certain other provisions of this Indenture cannot be modified or waived without the consent of the Holder of each Outstanding Security affected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clause shall not be deemed to require the consent of any Holder of a Security or coupon with respect to changes in the references to “the Trustee” and concomitant changes in this Section and Section 11.08, or the deletion of this proviso, in accordance with the requirements of Section 6.11(b) and Section 9.01(h); or </w:t>
      </w:r>
    </w:p>
    <w:p>
      <w:pPr>
        <w:pStyle w:val="TextBody"/>
        <w:bidi w:val="0"/>
        <w:spacing w:before="240" w:after="0"/>
        <w:jc w:val="left"/>
        <w:rPr>
          <w:rFonts w:ascii="Times New Roman" w:hAnsi="Times New Roman"/>
          <w:sz w:val="20"/>
        </w:rPr>
      </w:pPr>
      <w:r>
        <w:rPr>
          <w:rFonts w:ascii="Times New Roman" w:hAnsi="Times New Roman"/>
          <w:sz w:val="20"/>
        </w:rPr>
        <w:t xml:space="preserve">(d) change any obligation of the Company to maintain an office or agency in the places and for the purposes specified in Section 11.02.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any amendment to, or waiver of, the provisions of this Indenture relating to subordination of Securities of any series that materially adversely affects the rights of the Holders of such Securities will be subject to Section 10.14.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Execution of Supplemental Indentures</w:t>
      </w:r>
      <w:r>
        <w:rPr>
          <w:rFonts w:ascii="Times New Roman" w:hAnsi="Times New Roman"/>
          <w:sz w:val="20"/>
        </w:rPr>
        <w:t xml:space="preserve">.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Officers’ Certificate and Opinion of Counsel stating that the execution of such supplemental indenture is authorized or permitted by this Indenture, and that such supplemental indenture, when executed and delivered by the Company, will constitute a valid and binding obligation of the Company enforceable in accordance with its terms. The Trustee may, but shall not be obligated to, enter into any such supplemental indenture which affects the Trustee’s own rights, duties, indemnities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Effect of Supplemental Indentures</w:t>
      </w:r>
      <w:r>
        <w:rPr>
          <w:rFonts w:ascii="Times New Roman" w:hAnsi="Times New Roman"/>
          <w:sz w:val="20"/>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Conformity with Trust Indenture Act</w:t>
      </w:r>
      <w:r>
        <w:rPr>
          <w:rFonts w:ascii="Times New Roman" w:hAnsi="Times New Roman"/>
          <w:sz w:val="20"/>
        </w:rPr>
        <w:t xml:space="preserve">. Every supplemental indenture executed pursuant to this Article shall conform to the requirements of the Trust Indenture Act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Reference in Securities to Supplemental Indentures</w:t>
      </w:r>
      <w:r>
        <w:rPr>
          <w:rFonts w:ascii="Times New Roman" w:hAnsi="Times New Roman"/>
          <w:sz w:val="20"/>
        </w:rPr>
        <w:t xml:space="preserve">. Securities of any series authenticated and delivered after the execution of any supplemental indenture pursuant to this Article may, and shall if required by the Trustee, bear a notation in form acceptable to the Trustee as to any matter provided for in such supplemental indenture. If the Company shall so determine, new Securities of any series so modified as to conform, in the opinion of the Company, to any such supplemental indenture may be prepared and executed by the Company and authenticated and delivered by the Trustee in exchange for Outstanding Securities of such Series.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SUBORDINATION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Agreement to Subordinate</w:t>
      </w:r>
      <w:r>
        <w:rPr>
          <w:rFonts w:ascii="Times New Roman" w:hAnsi="Times New Roman"/>
          <w:sz w:val="20"/>
        </w:rPr>
        <w:t xml:space="preserve">. Except as otherwise provided in a supplemental indenture or pursuant to Section 3.01 or this Section 10.01, the Company agrees, and each Holder by accepting a Security agrees, that the indebtedness evidenced by the Securities is subordinated in right of payment, to the extent and in the manner provided in this Article 10, to the prior payment in full of all amounts due and payable in respect of all Senior Debt and that the subordination is for the benefit of the holders of Senior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Liquidation; Dissolution; Bankruptcy</w:t>
      </w:r>
      <w:r>
        <w:rPr>
          <w:rFonts w:ascii="Times New Roman" w:hAnsi="Times New Roman"/>
          <w:sz w:val="20"/>
        </w:rPr>
        <w:t xml:space="preserve">. Upon any distribution to creditors of the Company in a liquidation or dissolution of the Company, or in a bankruptcy, reorganization, insolvency, receivership, arrangement, adjustment, composition or similar proceeding relating to the Company or its property, in an assignment for the benefit of creditors or any marshaling of an Company’s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(a) holders of Senior Debt will be entitled to receive payment in full of all principal, interest, penalties, fees, indemnifications, reimbursements, damages and other liabilities payable under the documentation governing any indebtedness due in respect of such Senior Debt (including interest after the commencement of any bankruptcy proceeding at the rate specified in the applicable Senior Debt), or provision shall be made for such payment in cash or cash equivalents or otherwise in a manner satisfactory to the holders of such Senior Debt, before the Holders will be entitled to receive any payment or distribution of any kind, whether in cash, property or securities with respect to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(b) until all principal, interest, penalties, fees, indemnifications, reimbursements, damages and other liabilities payable under the documentation governing any indebtedness due with respect to Senior Debt (as provided in clause (i) above) are paid in full, any payment or distribution to which Holders would be entitled but for this Article 10 will be made to holders of Senior Debt, as their interests may appear.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Default on Designated Senior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not make any payment or distribution to the Trustee or any Holder in respect of principal, interest, penalties, fees, indemnifications, reimbursements, damages and other liabilities payable under the documentation governing any indebtedness due with respect to the Securities and may not acquire from the Trustee or any Holder any Securities for cash or property until all principal and other principal, interest, penalties, fees, indemnifications, reimbursements, damages and other liabilities payable under the documentation governing any indebtedness due with respect to the Senior Debt have been paid in full if: </w:t>
      </w:r>
    </w:p>
    <w:p>
      <w:pPr>
        <w:pStyle w:val="TextBody"/>
        <w:bidi w:val="0"/>
        <w:spacing w:before="120" w:after="0"/>
        <w:jc w:val="left"/>
        <w:rPr>
          <w:rFonts w:ascii="Times New Roman" w:hAnsi="Times New Roman"/>
          <w:sz w:val="20"/>
        </w:rPr>
      </w:pPr>
      <w:r>
        <w:rPr>
          <w:rFonts w:ascii="Times New Roman" w:hAnsi="Times New Roman"/>
          <w:sz w:val="20"/>
        </w:rPr>
        <w:t xml:space="preserve">(i) a payment default on any Designated Senior Debt occurs and is continuing; or </w:t>
      </w:r>
    </w:p>
    <w:p>
      <w:pPr>
        <w:pStyle w:val="TextBody"/>
        <w:bidi w:val="0"/>
        <w:spacing w:before="240" w:after="0"/>
        <w:jc w:val="left"/>
        <w:rPr>
          <w:rFonts w:ascii="Times New Roman" w:hAnsi="Times New Roman"/>
          <w:sz w:val="20"/>
        </w:rPr>
      </w:pPr>
      <w:r>
        <w:rPr>
          <w:rFonts w:ascii="Times New Roman" w:hAnsi="Times New Roman"/>
          <w:sz w:val="20"/>
        </w:rPr>
        <w:t>(ii) any other default occurs and is continuing on any series of Designated Senior Debt that permits holders of that series of Designated Senior Debt to accelerate its maturity and the Trustee receives a written notice of such default (a “</w:t>
      </w:r>
      <w:r>
        <w:rPr>
          <w:rFonts w:ascii="Times New Roman" w:hAnsi="Times New Roman"/>
          <w:b/>
          <w:sz w:val="20"/>
        </w:rPr>
        <w:t>Payment Blockage Notice</w:t>
      </w:r>
      <w:r>
        <w:rPr>
          <w:rFonts w:ascii="Times New Roman" w:hAnsi="Times New Roman"/>
          <w:sz w:val="20"/>
        </w:rPr>
        <w:t xml:space="preserve">”) from the Company or the holders of any Designated Senior Debt. If the Trustee receives any such Payment Blockage Notice, no subsequent Payment Blockage Notice will be effective for purposes of this Section 10.03 unless and until at least 360 days have elapsed since the delivery of the immediately prior Payment Blockage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nonpayment default that existed or was continuing on the date of delivery of any Payment Blockage Notice to the Trustee may be, or may be made, the basis for a subsequent Payment Blockage Notice unless such default has been cured or waived for a period of not less than 90 days.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and will resume payments on and distributions in respect of the Securities and may acquire them upon the earlier of: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payment default on any Designated Senior Debt, upon the date upon which such default is cured or waived, and </w:t>
      </w:r>
    </w:p>
    <w:p>
      <w:pPr>
        <w:pStyle w:val="TextBody"/>
        <w:bidi w:val="0"/>
        <w:spacing w:before="240" w:after="0"/>
        <w:jc w:val="left"/>
        <w:rPr>
          <w:rFonts w:ascii="Times New Roman" w:hAnsi="Times New Roman"/>
          <w:sz w:val="20"/>
        </w:rPr>
      </w:pPr>
      <w:r>
        <w:rPr>
          <w:rFonts w:ascii="Times New Roman" w:hAnsi="Times New Roman"/>
          <w:sz w:val="20"/>
        </w:rPr>
        <w:t xml:space="preserve">(ii) in the case of any other default on any Designated Senior Debt in respect of which the Trustee has received a Payment Blockage Notice, upon the earlier of the date on which such nonpayment default is cured or waived or ceases to exist and 179 days after the date on which the applicable Payment Blockage Notice is received, unless the maturity of any Designated Senior Debt has been accelerated, </w:t>
      </w:r>
    </w:p>
    <w:p>
      <w:pPr>
        <w:pStyle w:val="TextBody"/>
        <w:bidi w:val="0"/>
        <w:spacing w:before="240" w:after="0"/>
        <w:jc w:val="left"/>
        <w:rPr>
          <w:rFonts w:ascii="Times New Roman" w:hAnsi="Times New Roman"/>
          <w:sz w:val="20"/>
        </w:rPr>
      </w:pPr>
      <w:r>
        <w:rPr>
          <w:rFonts w:ascii="Times New Roman" w:hAnsi="Times New Roman"/>
          <w:sz w:val="20"/>
        </w:rPr>
        <w:t xml:space="preserve">if this Article 10 otherwise permits such payment, distribution or acquisition at the time of such payment, distribution or acquisition.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Acceleration of Securities</w:t>
      </w:r>
      <w:r>
        <w:rPr>
          <w:rFonts w:ascii="Times New Roman" w:hAnsi="Times New Roman"/>
          <w:sz w:val="20"/>
        </w:rPr>
        <w:t xml:space="preserve">. If payment of the Securities is accelerated because of an Event of Default, the Company will promptly notify holders of Senior Debt of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When Distribution Must Be Paid Over</w:t>
      </w:r>
      <w:r>
        <w:rPr>
          <w:rFonts w:ascii="Times New Roman" w:hAnsi="Times New Roman"/>
          <w:sz w:val="20"/>
        </w:rPr>
        <w:t xml:space="preserve">. In the event that the Trustee or any Holder of the Securities receives any payment of any obligations with respect to the Securities at a time when the payment is prohibited by Section 10.03 hereof and a Responsible Officer or the Holder, as applicable, has actual knowledge that the payment is prohibited by Section 10.03 hereof, such payment will be held by the Trustee or such Holder, in trust for the benefit of, and will be paid forthwith over and delivered, upon written request, to, the holders of Senior Debt as their interests may appear, their Representative under the agreement, indenture or other document (if any) pursuant to which Senior Debt may have been issued, as their respective interests may appear, the trustee in bankruptcy, receiver, liquidating trustee or custodian for application to the payment of all obligations with respect to Senior Debt remaining unpaid to the extent necessary to pay such obligations in full in accordance with their terms, after giving effect to any concurrent payment or distribution to or for the holders of Senior Debt.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holders of Senior Debt, the Trustee undertakes to perform or to observe only those obligations or covenants on the part of the Trustee as are specifically set forth in this Article 10, and no implied covenants or obligations with respect to the holders of Senior Debt will be read into this Indenture against the Trustee. The Trustee will not be deemed to owe any fiduciary duty to the holders of Senior Debt, and will not be liable to any such holders if the Trustee pays over or distributes to or on behalf of Holders or the Company or any other Person money or assets to which any holders of Senior Debt are then entitled by virtue of this Article 10, except if such payment is made as a result of the willful misconduct or gross negligence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be entitled to all the rights set forth in this Article 10 with respect to any Senior Debt at the time held by it, to the same extent as any other holder of Senior Debt, and nothing in this Indenture shall deprive the Trustee of any of its rights as such holder. Notwithstanding anything in this Indenture or in the Securities of any series to the contrary, nothing in this Article 10 shall apply to claims of or payment to the Trustee under or pursuant to the terms of this Indenture, including, without limitation, any claims for indemnification under Section 6.07 hereof. </w:t>
      </w:r>
    </w:p>
    <w:p>
      <w:pPr>
        <w:pStyle w:val="TextBody"/>
        <w:bidi w:val="0"/>
        <w:spacing w:before="240" w:after="0"/>
        <w:jc w:val="left"/>
        <w:rPr>
          <w:rFonts w:ascii="Times New Roman" w:hAnsi="Times New Roman"/>
          <w:sz w:val="20"/>
        </w:rPr>
      </w:pPr>
      <w:r>
        <w:rPr>
          <w:rFonts w:ascii="Times New Roman" w:hAnsi="Times New Roman"/>
          <w:sz w:val="20"/>
        </w:rPr>
        <w:t xml:space="preserve">In case at any time any Paying Agent other than the Trustee shall have been appointed by the Company and be then acting hereunder, the term “Trustee” as used in this Article 10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10.12 shall not apply to the Company or any Affiliate of the Company if it or such Affiliate acts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Notice by Company</w:t>
      </w:r>
      <w:r>
        <w:rPr>
          <w:rFonts w:ascii="Times New Roman" w:hAnsi="Times New Roman"/>
          <w:sz w:val="20"/>
        </w:rPr>
        <w:t xml:space="preserve">. The Company will promptly notify the Trustee and the Paying Agent of any facts known to the Company that would cause a payment of any obligations with respect to the Securities to violate this Article 10 or would prohibit the making of any payment to or by the Trustee in respect of the Securities, but failure to give such notice will not affect the subordination of the Securities to the Senior Debt as provided in this Article 10.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Subrogation</w:t>
      </w:r>
      <w:r>
        <w:rPr>
          <w:rFonts w:ascii="Times New Roman" w:hAnsi="Times New Roman"/>
          <w:sz w:val="20"/>
        </w:rPr>
        <w:t xml:space="preserve">. Until the Securities are paid in full, Holders will be subrogated (equally and ratably with all other indebtedness </w:t>
      </w:r>
      <w:r>
        <w:rPr>
          <w:rFonts w:ascii="Times New Roman" w:hAnsi="Times New Roman"/>
          <w:i/>
          <w:sz w:val="20"/>
        </w:rPr>
        <w:t xml:space="preserve">pari passu </w:t>
      </w:r>
      <w:r>
        <w:rPr>
          <w:rFonts w:ascii="Times New Roman" w:hAnsi="Times New Roman"/>
          <w:sz w:val="20"/>
        </w:rPr>
        <w:t xml:space="preserve">with the Securities) to the rights of holders of Senior Debt to receive distributions applicable to Senior Debt to the extent that distributions otherwise payable to the Holders have been applied to the payment of Senior Debt. A distribution made under this Article 10 to holders of Senior Debt that otherwise would have been made to Holders is not, as between the Company and Holders, a payment by the Company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Relative Rights</w:t>
      </w:r>
      <w:r>
        <w:rPr>
          <w:rFonts w:ascii="Times New Roman" w:hAnsi="Times New Roman"/>
          <w:sz w:val="20"/>
        </w:rPr>
        <w:t xml:space="preserve">. This Article 10 defines the relative rights of Holders and holders of Senior Debt. Nothing in this Indenture will: </w:t>
      </w:r>
    </w:p>
    <w:p>
      <w:pPr>
        <w:pStyle w:val="TextBody"/>
        <w:bidi w:val="0"/>
        <w:spacing w:before="120" w:after="0"/>
        <w:jc w:val="left"/>
        <w:rPr>
          <w:rFonts w:ascii="Times New Roman" w:hAnsi="Times New Roman"/>
          <w:sz w:val="20"/>
        </w:rPr>
      </w:pPr>
      <w:r>
        <w:rPr>
          <w:rFonts w:ascii="Times New Roman" w:hAnsi="Times New Roman"/>
          <w:sz w:val="20"/>
        </w:rPr>
        <w:t xml:space="preserve">(a) affect the relative rights of Holders and creditors of the Company other than their rights in relation to holders of Senior Debt; </w:t>
      </w:r>
    </w:p>
    <w:p>
      <w:pPr>
        <w:pStyle w:val="TextBody"/>
        <w:bidi w:val="0"/>
        <w:spacing w:before="240" w:after="0"/>
        <w:jc w:val="left"/>
        <w:rPr>
          <w:rFonts w:ascii="Times New Roman" w:hAnsi="Times New Roman"/>
          <w:sz w:val="20"/>
        </w:rPr>
      </w:pPr>
      <w:r>
        <w:rPr>
          <w:rFonts w:ascii="Times New Roman" w:hAnsi="Times New Roman"/>
          <w:sz w:val="20"/>
        </w:rPr>
        <w:t xml:space="preserve">(b) prevent the Trustee or any Holder from exercising its available remedies upon a Default or Event of Default, subject to the rights of holders and owners of Senior Debt to receive distributions and payments otherwise payable to Holders; or </w:t>
      </w:r>
    </w:p>
    <w:p>
      <w:pPr>
        <w:pStyle w:val="TextBody"/>
        <w:bidi w:val="0"/>
        <w:spacing w:before="240" w:after="0"/>
        <w:jc w:val="left"/>
        <w:rPr>
          <w:rFonts w:ascii="Times New Roman" w:hAnsi="Times New Roman"/>
          <w:sz w:val="20"/>
        </w:rPr>
      </w:pPr>
      <w:r>
        <w:rPr>
          <w:rFonts w:ascii="Times New Roman" w:hAnsi="Times New Roman"/>
          <w:sz w:val="20"/>
        </w:rPr>
        <w:t xml:space="preserve">(c) prevent the redemption of the Securities pursuant to and in accordance with, the provisions of Section 12.04.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i/>
          <w:sz w:val="20"/>
        </w:rPr>
        <w:t>Subordination May Not Be Impaired</w:t>
      </w:r>
      <w:r>
        <w:rPr>
          <w:rFonts w:ascii="Times New Roman" w:hAnsi="Times New Roman"/>
          <w:sz w:val="20"/>
        </w:rPr>
        <w:t xml:space="preserve">. No right of any present or future holder of Senior Debt to enforce the subordination of the indebtedness evidenced by the Securities may be impaired by any act or failure to act by the Company, any such holder or any Holder or by the failure of the Company or any Holder to comply with this Indenture, regardless of any knowledge thereof that any such holder may have or be otherwise charged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i/>
          <w:sz w:val="20"/>
        </w:rPr>
        <w:t>Distribution or Notice to Representative</w:t>
      </w:r>
      <w:r>
        <w:rPr>
          <w:rFonts w:ascii="Times New Roman" w:hAnsi="Times New Roman"/>
          <w:sz w:val="20"/>
        </w:rPr>
        <w:t xml:space="preserve">. Whenever a distribution is to be made or a notice given to holders of Senior Debt, the distribution may be made and the notice given to their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i/>
          <w:sz w:val="20"/>
        </w:rPr>
        <w:t>Reliance on Judicial Order or Certificate</w:t>
      </w:r>
      <w:r>
        <w:rPr>
          <w:rFonts w:ascii="Times New Roman" w:hAnsi="Times New Roman"/>
          <w:sz w:val="20"/>
        </w:rPr>
        <w:t xml:space="preserve">. Upon any payment or distribution of assets of the Company referred to in this Article 10, the Trustee and the Holders will be entitled to conclusively rely upon any order or decree made by any court of competent jurisdiction or upon any certificate of such Representative or of the liquidating trustee or agent or other Person making any distribution to the Trustee or to the Holders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10.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i/>
          <w:sz w:val="20"/>
        </w:rPr>
        <w:t>Rights of Trustee and Paying Agent</w:t>
      </w:r>
      <w:r>
        <w:rPr>
          <w:rFonts w:ascii="Times New Roman" w:hAnsi="Times New Roman"/>
          <w:sz w:val="20"/>
        </w:rPr>
        <w:t xml:space="preserve">. Notwithstanding the provisions of this Article 10 or any other provision of this Indenture, the Trustee will not be charged with knowledge of the existence of any facts that would prohibit the making of any payment or distribution by the Trustee, and the Trustee and the Paying Agent may continue to make payments on the Securities, unless a Responsible Officer of the Trustee has received at its Corporate Trust Office at least five Business Days prior to the date of such payment written notice of facts that would cause the payment of any obligations with respect to the Securities to violate this Article 10 and such notice references the Company, the Securities and this Indenture; and prior to the receipt of any such written notice, the Trustee shall be entitled in all respects to assume that no such facts exist;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Responsible Officer of the Trustee shall not have received, at least three Business Days prior to the date upon which by the terms hereof any such money may become payable for any purpose (including, without limitation, the payment of the principal amount, issue price, Redemption Price, purchase price, Change in Control Purchase Price or interest, if any and in each case to the extent applicable, as the case may be, in respect of the Securities), the notice with respect to such money provided for in this Article 10,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Only the Company or a Representative may give the notice. Nothing in this Article 10 will impair the claims of, or payments to, the Trustee under or pursuant to Section 6.07 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the Trustee shall be entitled to conclusively rely on the delivery to it of a written notice by a Representative to establish that a notice has been given by a holder of Senior Debt (or a trustee or agent on behalf of any such holder). In the event that the Trustee determines in good faith that further evidence is required with respect to the right of Representative to participate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or distribution pursuant to this Article 10, the Trustee may request such Person to furnish evidence to the reasonable satisfaction of the Trustee as to the amount of Senior Debt held by the Representative, the extent to which the Representative is entitled to participate in such payment or distribution and any other facts pertinent to the rights of such Person under this Article 10, and if such evidence is not furnished, the Trustee may defer any payment which it may be required to make for the benefit of the Representative pursuant to the terms of this Indenture pending judicial determination as to the rights of such Person to receive such payment.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hold Senior Debt with the same rights as set forth in this Article 10 as it would have if it were not Trustee. Any agent of the Trustee may do the same with like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i/>
          <w:sz w:val="20"/>
        </w:rPr>
        <w:t>Authorization to Effect Subordination</w:t>
      </w:r>
      <w:r>
        <w:rPr>
          <w:rFonts w:ascii="Times New Roman" w:hAnsi="Times New Roman"/>
          <w:sz w:val="20"/>
        </w:rPr>
        <w:t xml:space="preserve">. Each Holder, by the Holder’s acceptance of a Security, authorizes and directs the Trustee on such Holder’s behalf to take such action as may be necessary or appropriate to effectuate the subordination as provided in this Article 10, and appoints the Trustee to act as such Holder’s attorney-in-fact for any and all such purposes. If the Trustee does not file a proper proof of claim or proof of debt in the form required in any proceeding referred to in Section 5.04 hereof at least 30 days before the expiration of the time to file such claim, the Representatives are hereby authorized to file an appropriate claim for and on behalf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i/>
          <w:sz w:val="20"/>
        </w:rPr>
        <w:t>Amendments</w:t>
      </w:r>
      <w:r>
        <w:rPr>
          <w:rFonts w:ascii="Times New Roman" w:hAnsi="Times New Roman"/>
          <w:sz w:val="20"/>
        </w:rPr>
        <w:t xml:space="preserve">. Any amendment to, or waiver of, the provisions of this Article 10 that adversely affects the rights of the Holders of Securities of a series will require the consent of the Holders of at least 75% in aggregate principal amount of Securities of such series then outstanding.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Payment of Principal, Premium and Interest</w:t>
      </w:r>
      <w:r>
        <w:rPr>
          <w:rFonts w:ascii="Times New Roman" w:hAnsi="Times New Roman"/>
          <w:sz w:val="20"/>
        </w:rPr>
        <w:t xml:space="preserve">. The Company covenants and agrees for the benefit of each series of Securities that it will duly and punctually pay the principal of (and premium, if any) and interest, if any,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Maintenance of Office or Agency</w:t>
      </w:r>
      <w:r>
        <w:rPr>
          <w:rFonts w:ascii="Times New Roman" w:hAnsi="Times New Roman"/>
          <w:sz w:val="20"/>
        </w:rPr>
        <w:t xml:space="preserve">. If Securities of a series are issuable as or exchangeable for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with respect to the Securities of that series and this Indenture may be served, any one or more of which offices or agencies may be the same for one or more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Bearer Securities of that series, and related coupons may be presented and surrendered for payment (including payment of any additional amounts payable on Securities of that series pursuant to Section 11.09);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Securities of that series are listed on the International Stock Exchange of the United Kingdom and the Republic of Ireland Limited, the Luxembourg Stock Exchange or any other stock exchange located outside the United States and such securities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give prompt written notice to the Trustee and prompt notice to the Holders of Securities of such series, as provided in Section 1.06 of the location, and of any change in the location, of any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11.09) at any Place of Payment for such series located outside the United States and the Company hereby appoints the Trustee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No payment of principal, premium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Securities of a series are denominated and payable in Dollars, payment of principal of and any premium and interest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Bearer Security (including any additional amounts payable on Securities of such series pursuant to Section 11.09) and payment of any coupon related thereto shall be made at the office of the Company’s Paying Agent in the United States, if (but only if) payment in Dollars of the full amount of such principal, premium, interest or additional amounts, the case may be, at all offices or agencies outside the United States maintained for the purpose by the Company in accordance with this Indenture is illegal or effectively precluded by exchange controls or other similar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(in or outside any Place of Payment) where the Securities of one or more series and any related coupons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Company of its obligation to maintain an office or agency for Securities of any series and related coupons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any Securities pursuant to Section 3.01 hereof, if and for so long as the Securities of any series (i) are denominated in a Foreign Currency, or (ii) may be payable in a Foreign Currency, or so long as it is required under any other provisions of the Indenture, then the Company will maintain with respect to each such series of Securities, or as so required, at least one exchange rate agent (of which it shall give written notice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Money For Security Payments to Be Held in Trust</w:t>
      </w:r>
      <w:r>
        <w:rPr>
          <w:rFonts w:ascii="Times New Roman" w:hAnsi="Times New Roman"/>
          <w:sz w:val="20"/>
        </w:rPr>
        <w:t xml:space="preserve">. If the Company shall at any time act as its own Paying Agent with respect to any series of Securities, it will, on or before each due date of the principal of (and premium, if any) or interest, if any,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if any) or interest, if any, so becoming due until such sums shall be paid to such Persons or otherwise disposed of as herein provided and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Whenever the Company shall have one or more Paying Agents for any series of Securities, it will, prior to each due date of the principal of (and premium, if any) or interest, if any, on any Securities of that series, deposit with a Paying Agent a sum (in the currency or currencies, currency unit or units or composite currency or currencies described in the preceding paragraph) sufficient to pay the principal (and premium, if any) or interest, if any, so becoming due, such sum to be held in trust for the benefit of the Persons entitled to such principal, premium or interest, and (unless such Paying Agent is the Trustee) the Company will promptly notify the Trustee of its action or failure so to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cause each Paying Agent for any series of Securities other than the Trustee to execute and deliver to the Trustee an instrument in which such Paying Agent shall agree with the Trustee, subject to the provisions of this Section, that such Paying Agent will: </w:t>
      </w:r>
    </w:p>
    <w:p>
      <w:pPr>
        <w:pStyle w:val="TextBody"/>
        <w:bidi w:val="0"/>
        <w:spacing w:before="120" w:after="0"/>
        <w:jc w:val="left"/>
        <w:rPr>
          <w:rFonts w:ascii="Times New Roman" w:hAnsi="Times New Roman"/>
          <w:sz w:val="20"/>
        </w:rPr>
      </w:pPr>
      <w:r>
        <w:rPr>
          <w:rFonts w:ascii="Times New Roman" w:hAnsi="Times New Roman"/>
          <w:sz w:val="20"/>
        </w:rPr>
        <w:t xml:space="preserve">(a) hold all sums held by it for the payment of the principal of (and premium, if any) or interest, if any, on Securities of that series in trust for the benefit of the Persons entitled thereto until such sums shall be paid to such Persons otherwise disposed of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(b) give the Trustee notice of any default by the Company (or any other obligor upon the Securities of that series) in the making of any payment of principal (and premium, if any) or interest, if any, on the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(c) at any time during the continuance of any such default, upon the written request of the Trustee, forthwith pay to the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(and premium, if any) or interest, if any, on any Security of any series or the payment of any related coupon and remaining unclaimed for two years after such principal (and premium, if any) or interest, if any, has become due and payable shall, unless otherwise required by mandatory provisions of applicable escheat, or abandoned or unclaimed property law, be paid to the Company 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unless otherwise required by mandatory provisions of applicable escheat, or abandoned or unclaimed property law, be repaid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Restrictions on Secured Debt</w:t>
      </w:r>
      <w:r>
        <w:rPr>
          <w:rFonts w:ascii="Times New Roman" w:hAnsi="Times New Roman"/>
          <w:sz w:val="20"/>
        </w:rPr>
        <w:t xml:space="preserve">. The Company covenants and agrees for the benefit of each series of Securities, other than any series established by or pursuant to a Board Resolution or in one or more supplemental indentures hereto which specifically provides otherwise, that it will not itself, and will not permit any Restricted Subsidiary to, incur, issue, assume, or guarantee any loans, whether or not evidenced by negotiable instruments or securities, or any notes, bonds, debentures or other similar evidences of indebtedness for money borrowed (loans, and notes, bonds, debentures or other similar evidences of indebtedness for money borrowed being hereinafter in this Section 11.04 called “Debt”), secured after the date hereof by pledge of, or mortgage or lien on, any Principal Property of the Company or any Restricted Subsidiary or any shares of Capital Stock of or Debt of any, Restricted Subsidiary (mortgages, pledges and liens being hereinafter in this Section 11.04 called “Mortgage” or “Mortgages”), without effectively providing that the Securities other than Securities of a series not entitled to the benefits of this covenant (together with, if the Company shall so determine, any other Debt of the Company or such Restricted Subsidiary then existing or thereafter created which is not subordinate to the Securities) shall be secured equally and ratably with (or, at the option of the Company, prior to) such secured Debt, so long as such secured Debt shall be so secured, unless, after giving effect thereto, the aggregate amount of all such secured Debt plus all Attributable Debt of the Company and its Restricted Subsidiaries with respect to sale and leaseback transactions to which Section 11.05 is applicable would not exceed 10% of Consolidated Net Assets;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Section 11.04 shall not apply to, and there shall be excluded from secured Debt in any computation under this Section 11.04, Debt secured by: </w:t>
      </w:r>
    </w:p>
    <w:p>
      <w:pPr>
        <w:pStyle w:val="TextBody"/>
        <w:bidi w:val="0"/>
        <w:spacing w:before="120" w:after="0"/>
        <w:jc w:val="left"/>
        <w:rPr>
          <w:rFonts w:ascii="Times New Roman" w:hAnsi="Times New Roman"/>
          <w:sz w:val="20"/>
        </w:rPr>
      </w:pPr>
      <w:r>
        <w:rPr>
          <w:rFonts w:ascii="Times New Roman" w:hAnsi="Times New Roman"/>
          <w:sz w:val="20"/>
        </w:rPr>
        <w:t xml:space="preserve">(a) Mortgages on property of, or on any shares of Capital Stock of or Debt of, any corporation existing at the time such corporation becomes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(b) Mortgages in favor of the Company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(c) Mortgages in favor of any governmental body to secure progress, advance or other payments pursuant to any contract or provision of any statute; </w:t>
      </w:r>
    </w:p>
    <w:p>
      <w:pPr>
        <w:pStyle w:val="TextBody"/>
        <w:bidi w:val="0"/>
        <w:spacing w:before="240" w:after="0"/>
        <w:jc w:val="left"/>
        <w:rPr>
          <w:rFonts w:ascii="Times New Roman" w:hAnsi="Times New Roman"/>
          <w:sz w:val="20"/>
        </w:rPr>
      </w:pPr>
      <w:r>
        <w:rPr>
          <w:rFonts w:ascii="Times New Roman" w:hAnsi="Times New Roman"/>
          <w:sz w:val="20"/>
        </w:rPr>
        <w:t xml:space="preserve">(d) Mortgages on property, shares of Capital Stock or Debt existing at the time of acquisition thereof (including acquisition through merger or consolidation) or to secure the payment of all or any part of the purchase price thereof or construction thereon or to secure any Debt incurred prior to, at the time of, or within 180 days after the later of the acquisition of such property, shares of Capital Stock or Debt or the completion of construction for the purpose of financing all or any part of the purchase price thereof or construction thereon; </w:t>
      </w:r>
    </w:p>
    <w:p>
      <w:pPr>
        <w:pStyle w:val="TextBody"/>
        <w:bidi w:val="0"/>
        <w:spacing w:before="240" w:after="0"/>
        <w:jc w:val="left"/>
        <w:rPr>
          <w:rFonts w:ascii="Times New Roman" w:hAnsi="Times New Roman"/>
          <w:sz w:val="20"/>
        </w:rPr>
      </w:pPr>
      <w:r>
        <w:rPr>
          <w:rFonts w:ascii="Times New Roman" w:hAnsi="Times New Roman"/>
          <w:sz w:val="20"/>
        </w:rPr>
        <w:t xml:space="preserve">(e) Mortgages securing obligations issued by a State, territory or possession of the United States, any political subdivision of any of the foregoing, or the District of Columbia, or any instrumentality of any of the foregoing to finance the acquisition or construction of property, and on which the interest is not, in the opinion of tax counsel of recognized standing or in accordance with a ruling issued by the Internal Revenue Service, includible in gross income of the holder by reason of Section 103(a) of the Internal Revenue Code (or any successor to such provision) as in effect at the time of the issuance of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Mechanics’, materialmen’s, carriers’ or other like liens arising in the ordinary course of business (including construction of facilities) in respect of obligations which are not due or which are being contested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(g) Any mortgage arising by reason of deposits with, or the giving of any form of security to, any governmental agency or any body created or approved by law or governmental regulations which is required by law or governmental regulation as a condition to the transaction of any business, or the exercise of any privilege, franchise or license; </w:t>
      </w:r>
    </w:p>
    <w:p>
      <w:pPr>
        <w:pStyle w:val="TextBody"/>
        <w:bidi w:val="0"/>
        <w:spacing w:before="240" w:after="0"/>
        <w:jc w:val="left"/>
        <w:rPr>
          <w:rFonts w:ascii="Times New Roman" w:hAnsi="Times New Roman"/>
          <w:sz w:val="20"/>
        </w:rPr>
      </w:pPr>
      <w:r>
        <w:rPr>
          <w:rFonts w:ascii="Times New Roman" w:hAnsi="Times New Roman"/>
          <w:sz w:val="20"/>
        </w:rPr>
        <w:t xml:space="preserve">(h) Mortgages for taxes, assessments or governmental charges or levies not yet delinquent, or mortgages for taxes, assessments or governmental charges or levies already delinquent but the validity of which is being contested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(i) Mortgages (including judgment liens) arising in connection with legal proceedings so long as such proceedings are being contested in good faith and, in the case of judgment liens, execution thereon is stayed; and </w:t>
      </w:r>
    </w:p>
    <w:p>
      <w:pPr>
        <w:pStyle w:val="TextBody"/>
        <w:bidi w:val="0"/>
        <w:spacing w:before="240" w:after="0"/>
        <w:jc w:val="left"/>
        <w:rPr>
          <w:rFonts w:ascii="Times New Roman" w:hAnsi="Times New Roman"/>
          <w:sz w:val="20"/>
        </w:rPr>
      </w:pPr>
      <w:r>
        <w:rPr>
          <w:rFonts w:ascii="Times New Roman" w:hAnsi="Times New Roman"/>
          <w:sz w:val="20"/>
        </w:rPr>
        <w:t xml:space="preserve">(j) Any extension, renewal or replacement (or successive extensions, renewals or replacements), as a whole or in part, of any Mortgage referred to in the foregoing clauses (a) to (i), inclusive;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extension, renewal or replacement Mortgage shall be limited to all or part of the same property, shares of Capital Stock or Debt that secured the Mortgage extended, renewed or replaced (plus improvements on such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Restrictions on Sales and Leasebacks</w:t>
      </w:r>
      <w:r>
        <w:rPr>
          <w:rFonts w:ascii="Times New Roman" w:hAnsi="Times New Roman"/>
          <w:sz w:val="20"/>
        </w:rPr>
        <w:t xml:space="preserve">. The Company covenants and agrees for the benefit of each series of Securities, other than any series established by or pursuant to a Board Resolution or in one or more supplemental indentures hereto which specifically provides otherwise, that it will not itself, and will not permit any Restricted Subsidiary to, enter into any transaction after the date hereof with any bank, insurance company or other lender or investor, or to which any such bank, company, lender or investor is a party, providing for the leasing by the Company or a Restricted Subsidiary of any Principal Property which has been or is to be sold or transferred by the Company or such Restricted Subsidiary to such bank, company, lender or investor, or to any person to whom funds have been or are to be advanced by such bank, company, lender or investor on the Security of such Principal Property (herein referred to as a “sale and leaseback transaction”) unless, after giving effect thereto, the aggregate amount of all Attributable Debt with respect to all such transactions plus all secured Debt to which Section 11.04 is applicable would not exceed 10% of Consolidated Net Assets. This covenant shall not apply to, and there shall be excluded from Attributable Debt in any computation under this Section 11.05, Attributable Debt with respect to any sale and leaseback transaction if: </w:t>
      </w:r>
    </w:p>
    <w:p>
      <w:pPr>
        <w:pStyle w:val="TextBody"/>
        <w:bidi w:val="0"/>
        <w:spacing w:before="120" w:after="0"/>
        <w:jc w:val="left"/>
        <w:rPr>
          <w:rFonts w:ascii="Times New Roman" w:hAnsi="Times New Roman"/>
          <w:sz w:val="20"/>
        </w:rPr>
      </w:pPr>
      <w:r>
        <w:rPr>
          <w:rFonts w:ascii="Times New Roman" w:hAnsi="Times New Roman"/>
          <w:sz w:val="20"/>
        </w:rPr>
        <w:t xml:space="preserve">(a) the lease in such sale and leaseback transaction is for a period, including renewal rights, of not in excess of five years;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or a Restricted Subsidiary, within 180 days after the sale or transfer shall have been made by the Company or by a Restricted Subsidiary applies an amount equal to the greater of the net proceeds of the sale of the Principal Property leased pursuant to such arrangement or the fair market value of the Principal Property so leased at the time of entering into such arrangement (as determined in any manner approved by the Board of Directors) to (i) the retirement of the Securities or other Funded Debt of the Company ranking on a parity with or senior to the Securities, or the retirement of the securities or other Funded Debt of a 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to be applied to the retirement of such Funded Debt of the Company or a Restricted Subsidiary shall be reduced by (x) the principal amount of any Securities (or other notes or debentures constituting such Funded Debt) delivered within such 180-day period to the Trustee or other applicable trustee for retirement and cancellation and (y) the principal amount of such Funded Debt, other than items referred to in the preceding clause (x), voluntarily retired by the Company or a Restricted Subsidiary within 180 days after such sale;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notwithstanding the foregoing, no retirement referred to in this clause (i) may be effected by payment at maturity or pursuant to any mandatory sinking fund payment or any mandatory prepayment provision, or (ii) the purchase of other property which will constitute a Principal Property having a fair market value, in the opinion of the Board of Directors, at least equal to the fair market value of the Principal Property leased in such sale and leaseback transaction; or </w:t>
      </w:r>
    </w:p>
    <w:p>
      <w:pPr>
        <w:pStyle w:val="TextBody"/>
        <w:bidi w:val="0"/>
        <w:spacing w:before="240" w:after="0"/>
        <w:jc w:val="left"/>
        <w:rPr>
          <w:rFonts w:ascii="Times New Roman" w:hAnsi="Times New Roman"/>
          <w:sz w:val="20"/>
        </w:rPr>
      </w:pPr>
      <w:r>
        <w:rPr>
          <w:rFonts w:ascii="Times New Roman" w:hAnsi="Times New Roman"/>
          <w:sz w:val="20"/>
        </w:rPr>
        <w:t xml:space="preserve">(c) such sale and leaseback transaction is entered into prior to, at the time of, or within 180 days after the later of the acquisition of the Principal Property or the completion of construction thereon; or </w:t>
      </w:r>
    </w:p>
    <w:p>
      <w:pPr>
        <w:pStyle w:val="TextBody"/>
        <w:bidi w:val="0"/>
        <w:spacing w:before="240" w:after="0"/>
        <w:jc w:val="left"/>
        <w:rPr>
          <w:rFonts w:ascii="Times New Roman" w:hAnsi="Times New Roman"/>
          <w:sz w:val="20"/>
        </w:rPr>
      </w:pPr>
      <w:r>
        <w:rPr>
          <w:rFonts w:ascii="Times New Roman" w:hAnsi="Times New Roman"/>
          <w:sz w:val="20"/>
        </w:rPr>
        <w:t xml:space="preserve">(d) the lease in such sale and leaseback transaction secures or relates to obligations issued by a State, territory or possession of the United States, or any political subdivision of any of the foregoing, the District of Columbia, or any instrumentality of any of the foregoing to finance the acquisition or construction of property, and on which the interest is not, in the opinion of tax counsel of recognized standing or in accordance with a ruling issued by the Internal Revenue Service, includible in gross income of the holder by reason of Section 103(a) of the Internal Revenue Code (or other successor to such provision) as in effect at the time of the issuance of such obligations; or </w:t>
      </w:r>
    </w:p>
    <w:p>
      <w:pPr>
        <w:pStyle w:val="TextBody"/>
        <w:bidi w:val="0"/>
        <w:spacing w:before="240" w:after="0"/>
        <w:jc w:val="left"/>
        <w:rPr>
          <w:rFonts w:ascii="Times New Roman" w:hAnsi="Times New Roman"/>
          <w:sz w:val="20"/>
        </w:rPr>
      </w:pPr>
      <w:r>
        <w:rPr>
          <w:rFonts w:ascii="Times New Roman" w:hAnsi="Times New Roman"/>
          <w:sz w:val="20"/>
        </w:rPr>
        <w:t xml:space="preserve">(e) such sale and leaseback transaction is entered into between the Company and a Restricted Subsidiary or between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i/>
          <w:sz w:val="20"/>
        </w:rPr>
        <w:t>Statement as to Compliance</w:t>
      </w:r>
      <w:r>
        <w:rPr>
          <w:rFonts w:ascii="Times New Roman" w:hAnsi="Times New Roman"/>
          <w:sz w:val="20"/>
        </w:rPr>
        <w:t xml:space="preserve">. The Company will deliver to the Trustee, within 120 days after the end of each fiscal year of the Company ending after the date of the first issuance of Securities hereunder (which fiscal year as of the date hereof ends [____]), an Officers’ Certificate, stating, as to each signer thereof, that </w:t>
      </w:r>
    </w:p>
    <w:p>
      <w:pPr>
        <w:pStyle w:val="TextBody"/>
        <w:bidi w:val="0"/>
        <w:spacing w:before="240" w:after="0"/>
        <w:jc w:val="left"/>
        <w:rPr>
          <w:rFonts w:ascii="Times New Roman" w:hAnsi="Times New Roman"/>
          <w:sz w:val="20"/>
        </w:rPr>
      </w:pPr>
      <w:r>
        <w:rPr>
          <w:rFonts w:ascii="Times New Roman" w:hAnsi="Times New Roman"/>
          <w:sz w:val="20"/>
        </w:rPr>
        <w:t xml:space="preserve">(a) a review of the activities of the Company during such year and of performance under this Indenture has been made under his supervision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best of his knowledge, based on such review, the Company is not in default in the fulfillment of any of its obligations under this Indenture, or specifying each such default known to him and the nature and status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so long as any of the Securities are outstanding, deliver to a Responsible Officer of the Trustee, within five (5) Business days after the chief financial officer, the Treasurer, or the Controller obtains actual knowledge of any Default or Event of Default, an Officers’ Certificate specifying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i/>
          <w:sz w:val="20"/>
        </w:rPr>
        <w:t>Corporate Existence</w:t>
      </w:r>
      <w:r>
        <w:rPr>
          <w:rFonts w:ascii="Times New Roman" w:hAnsi="Times New Roman"/>
          <w:sz w:val="20"/>
        </w:rPr>
        <w:t xml:space="preserve">. Subject to Article 8, the Company will do or cause to be done all things necessary to preserve and keep in full force and effect its corporate existence.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i/>
          <w:sz w:val="20"/>
        </w:rPr>
        <w:t>Waiver of Certain Covenants</w:t>
      </w:r>
      <w:r>
        <w:rPr>
          <w:rFonts w:ascii="Times New Roman" w:hAnsi="Times New Roman"/>
          <w:sz w:val="20"/>
        </w:rPr>
        <w:t xml:space="preserve">. The Company may omit in any particular instance to comply with any term, provision, covenant or condition set forth in Sections 11.04 and 11.05, inclusive, if before the time for such compliance the Holders of at least a majority in principal amount of the Outstanding Securities of each series shall, by Act of such Holders, either waive such compliance in such instance or generally waive compliance with such term, provision, covenant or condition, but no such waiver shall extend to or affect such term, provision, covenant or condition except to the extent so expressly waived, and, until such waiver shall become effective, the obligations of the Company and the duties of the Trustee with respect to any such term, provision, covenant or condition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i/>
          <w:sz w:val="20"/>
        </w:rPr>
        <w:t>Additional Amounts</w:t>
      </w:r>
      <w:r>
        <w:rPr>
          <w:rFonts w:ascii="Times New Roman" w:hAnsi="Times New Roman"/>
          <w:sz w:val="20"/>
        </w:rPr>
        <w:t xml:space="preserve">. If the Securities of a series provide for the payment of additional amounts, the Company will pay to the Holder of any Security of such series or any coupon appertaining thereto additional amounts as provided therein. 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 </w:t>
      </w:r>
    </w:p>
    <w:p>
      <w:pPr>
        <w:pStyle w:val="TextBody"/>
        <w:bidi w:val="0"/>
        <w:spacing w:before="240" w:after="0"/>
        <w:jc w:val="left"/>
        <w:rPr>
          <w:rFonts w:ascii="Times New Roman" w:hAnsi="Times New Roman"/>
          <w:sz w:val="20"/>
        </w:rPr>
      </w:pPr>
      <w:r>
        <w:rPr>
          <w:rFonts w:ascii="Times New Roman" w:hAnsi="Times New Roman"/>
          <w:sz w:val="20"/>
        </w:rPr>
        <w:t xml:space="preserve">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that series or any related coupons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incurred without negligence or willful misconduct on their part arising out of or in connection with actions taken or omitted by any of them in reliance on any Officers’ Certificate furnished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i/>
          <w:sz w:val="20"/>
        </w:rPr>
        <w:t>Calculation of Original Issue Discount</w:t>
      </w:r>
      <w:r>
        <w:rPr>
          <w:rFonts w:ascii="Times New Roman" w:hAnsi="Times New Roman"/>
          <w:sz w:val="20"/>
        </w:rPr>
        <w:t xml:space="preserve">. If any series is issued with Original Issue Discount, the Company shall file with the Trustee promptly at the end of each calendar year or written notice specifying the amount of original issue discount (including daily rates and accrual periods) accrued on Outstanding Securities as of the end of such year. </w:t>
      </w:r>
    </w:p>
    <w:p>
      <w:pPr>
        <w:pStyle w:val="TextBody"/>
        <w:bidi w:val="0"/>
        <w:spacing w:before="48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Applicability of This Article</w:t>
      </w:r>
      <w:r>
        <w:rPr>
          <w:rFonts w:ascii="Times New Roman" w:hAnsi="Times New Roman"/>
          <w:sz w:val="20"/>
        </w:rPr>
        <w:t xml:space="preserve">. Securities of any series which are redeemable before their stated Maturity shall be redeemable in accordance with their terms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i/>
          <w:sz w:val="20"/>
        </w:rPr>
        <w:t>Election to Redeem; Notice to Trustee</w:t>
      </w:r>
      <w:r>
        <w:rPr>
          <w:rFonts w:ascii="Times New Roman" w:hAnsi="Times New Roman"/>
          <w:sz w:val="20"/>
        </w:rPr>
        <w:t xml:space="preserve">. The election of the Company to redeem any Securities shall be evidenced by a Board Resolution. In case of any redemption at the election of the Company of less than all the Securities of any series, the Company shall, at least 60 days prior to the Redemption Date fixed by the Company (unless a shorter notice shall be satisfactory to the Trustee), notify the Trustee of such Redemption Date and of the principal amount of Securities of such series to be redeemed and the redemption price for such Securities, such notice to be accompanied by a written statement signed by an Authorized Officer of the Company stating that no defaults in the payment of interest or Events of Default with respect to the Securities of that series have occurred (which have not been waived or cured). In the case of any redemption of Securities (i) prior to the expiration of any restriction on such redemption provided in the terms of such Securities or elsewhere in this Indenture, or (ii) pursuant to an election of the Company which is subject to a condition or computation specified in the terms of such Securities, the Company shall furnish the Trustee with an Officers’ Certificate evidencing compliance with such restriction, condition or computation.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election by the Company necessitates the retention of any agent by the Trustee, the Company agrees that such retention shall be at the sole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12.03. </w:t>
      </w:r>
      <w:r>
        <w:rPr>
          <w:rFonts w:ascii="Times New Roman" w:hAnsi="Times New Roman"/>
          <w:i/>
          <w:sz w:val="20"/>
        </w:rPr>
        <w:t>Selection by Trustee of Securities to be Redeemed</w:t>
      </w:r>
      <w:r>
        <w:rPr>
          <w:rFonts w:ascii="Times New Roman" w:hAnsi="Times New Roman"/>
          <w:sz w:val="20"/>
        </w:rPr>
        <w:t xml:space="preserve">. If less than all the Securities of any series are to be redeemed, the particular Securities to be redeemed shall be selected not more than 60 days prior to the Redemption Date by the Trustee in compliance with the requirements of the applicable Depository, from the Outstanding Securities of such series not previously called for redemption by lot or by such other method as the Trustee shall deem fair and appropriate (and subject to and otherwise in accordance with the procedures of the applicable Depository)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portions of the principal amount of global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and the Security Registrar (if other than itself) in writing of the Securities selected for redemption and, in the case of any Securities selected for partial redemption,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i/>
          <w:sz w:val="20"/>
        </w:rPr>
        <w:t>Notice of Redemption</w:t>
      </w:r>
      <w:r>
        <w:rPr>
          <w:rFonts w:ascii="Times New Roman" w:hAnsi="Times New Roman"/>
          <w:sz w:val="20"/>
        </w:rPr>
        <w:t xml:space="preserve">. Notice of redemption shall be given in the manner provided in Section 1.06 not less than 30 and not more than 60 days prior to the Redemption Date, to the Holders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include the CUSIP number and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Redemption Price and any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(c) if less than all Outstanding Securities of any series are to be redeemed, the identification (and, in the case of partial redemption, the principal amounts) of the particular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(d) that on the Redemption Date the Redemption Price, and any accrued interest thereon will become due and payable upon each such Security to be redeemed and that interest thereon shall cease to accrue from and after said date; </w:t>
      </w:r>
    </w:p>
    <w:p>
      <w:pPr>
        <w:pStyle w:val="TextBody"/>
        <w:bidi w:val="0"/>
        <w:spacing w:before="240" w:after="0"/>
        <w:jc w:val="left"/>
        <w:rPr>
          <w:rFonts w:ascii="Times New Roman" w:hAnsi="Times New Roman"/>
          <w:sz w:val="20"/>
        </w:rPr>
      </w:pPr>
      <w:r>
        <w:rPr>
          <w:rFonts w:ascii="Times New Roman" w:hAnsi="Times New Roman"/>
          <w:sz w:val="20"/>
        </w:rPr>
        <w:t xml:space="preserve">(e) the place or places where such Securities are, together in the case of Bearer Securities with all coupons appertaining thereto, if any, maturing after the Redemption Date, to be surrendered for payment of the Redemption Price and any accrued interest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such be the case, that the installment of interest on Registered Securities whose Stated Maturity is the Redemption Date is payable to the Persons in whose names such Registered Securities are registered at the close of business on the Regular Record Date immediately preceding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(g) that the redemption is for a sinking fund, if such is the case.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shall be given by the Company or, at the Company’s written request, by the Trustee in the name and at the expense of the Company. In the event that the Company shall request that the Trustee send out a notice of redemption on its behalf, it shall make such request in writing and provide the form of the notice of redemption to the Trustee at least 5 Business Days before such notice of redemption is to be sent.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i/>
          <w:sz w:val="20"/>
        </w:rPr>
        <w:t>Deposit of Redemption Price</w:t>
      </w:r>
      <w:r>
        <w:rPr>
          <w:rFonts w:ascii="Times New Roman" w:hAnsi="Times New Roman"/>
          <w:sz w:val="20"/>
        </w:rPr>
        <w:t xml:space="preserve">. Prior to 11:00 a.m. New York City time, on any Redemption Date, the Company shall deposit with the Trustee or with a Paying Agent (or, if the Company is acting as its own Paying Agent, segregate and hold in trust as provided in Section 11.03)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any accrued interest on, all the Securities which are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12.06. </w:t>
      </w:r>
      <w:r>
        <w:rPr>
          <w:rFonts w:ascii="Times New Roman" w:hAnsi="Times New Roman"/>
          <w:i/>
          <w:sz w:val="20"/>
        </w:rPr>
        <w:t>Securities Payable on Redemption Date</w:t>
      </w:r>
      <w:r>
        <w:rPr>
          <w:rFonts w:ascii="Times New Roman" w:hAnsi="Times New Roman"/>
          <w:sz w:val="20"/>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any accrued interest thereon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Securities for redemption in accordance with said notice, such Securities shall be paid by the Company at the Redemption Price, together with any accrued interest to the Redemption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installments of interest on Bearer Securities whose Stated Maturity is on or prior to the Redemption Date shall be payable only at an office or agency located outside the United States (except as otherwise provided in Section 11.02) and, unless otherwise specified as contemplated by Section 3.01, only upon presentation and surrender of coupons for such interest,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Bearer Security which is to be redeemed in whole or in part (as set forth in Section 12.07),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or jointly by the Company and the Trustee if there be furnished to them such security and/or indemnity as they may require to save each of them and any Paying Agent harmless. If thereafter Holder shall surrender to the Trustee or any Paying Agent any such missing coupon in respect of which a deduction shall have been made from the Redemption Price, such Holder shall be entitled to receive the amount so deducted;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interest represented by coupons shall be payable only upon presentation and surrender of those coupons at an office or agency located outside of the United States except as otherwise provided in Section 11.02.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default in the payment of the Redemption Price and accrued interest on any Security called for redemption, the principal (and premium, if any) of such Security shall, until paid or until payment is provided for in accordance herewith, bear interest for the Redemption Date at the rate, if any, prescribed therefor in the Security. So long as it is known to the Trustee that an Event of Default is continuing hereunder, the Trustee shall not redeem any Securities of any series pursuant to this Article (unless all Outstanding Securities of such series are to be redeemed) or mail or give any notice of redemption of Securities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monies theretofore or thereafter received by the Trustee shall, during the continuance of such Event of Default, be deemed to have been collected under Article 5 and held for the payment of all such Securities. In case such Event of Default shall have been waived as provided in Section 5.13 or the default cured on or before the sixtieth day preceding the Redemption Date, such monies shall hereafter be applied in accordance with the provisions of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12.07. </w:t>
      </w:r>
      <w:r>
        <w:rPr>
          <w:rFonts w:ascii="Times New Roman" w:hAnsi="Times New Roman"/>
          <w:i/>
          <w:sz w:val="20"/>
        </w:rPr>
        <w:t>Securities Redeemed in Part</w:t>
      </w:r>
      <w:r>
        <w:rPr>
          <w:rFonts w:ascii="Times New Roman" w:hAnsi="Times New Roman"/>
          <w:sz w:val="20"/>
        </w:rPr>
        <w:t xml:space="preserve">. Any Security which is to be redeemed only in part shall be surrendered at any Place of Payment therefor (with, if the Company or the Trustee so requires, due endorsement by, or a written instrument of transfer in form satisfactory to the Company and the Trustee duly executed by, the Holder thereof or his attorney duly authorized in writing) together, in the case of Bearer Securities, with all coupons appertaining thereto maturing after the Redemption Date and the Company shall execute and upon receipt of a Company Order, the Trustee shall authenticate and deliver to the Holder of such Security without service charge, a new Security or Securities of the same series and of like tenor, of any authorized denomination as requested by the Holder, in an aggregate principal amount equal to and in exchange for the unredeemed portion of the principal of the Security so surrendered. If a Global Security is so surrendered, the Company shall execute and upon a Company Order, the Trustee shall authenticate and deliver to the depository at the expense of the Company and without service charge, a new Global Security in a denomination equal to and in exchange for the unredeemed portion of the principal of the Global Security so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Applicability of Article</w:t>
      </w:r>
      <w:r>
        <w:rPr>
          <w:rFonts w:ascii="Times New Roman" w:hAnsi="Times New Roman"/>
          <w:sz w:val="20"/>
        </w:rPr>
        <w:t xml:space="preserve">. The provisions of this Article shall be applicable to any sinking fund for the retirement of Securities of a series except as otherwise specified as contemplated by Section 3.01 for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the Securities of any series is herein referred to as an “optional sinking fund payment”. If provided for by the terms of the Securities of any series, the cash amount of any sinking fund payment may be subject to reduction as provided in Section 13.02. Each sinking fund payment made on the Securities of a series shall be applied to the redemption of the Securities of such series as provided for by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Satisfaction of Sinking Fund Payments with Securities</w:t>
      </w:r>
      <w:r>
        <w:rPr>
          <w:rFonts w:ascii="Times New Roman" w:hAnsi="Times New Roman"/>
          <w:sz w:val="20"/>
        </w:rPr>
        <w:t xml:space="preserve">. The Company (a) may deliver Outstanding Securities of a series (other than any previously called for redemption), together in the case of any Bearer Securities of such series with all unmatured coupons appertaining thereto and (b) may apply as a credit the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Securities; </w:t>
      </w:r>
      <w:r>
        <w:rPr>
          <w:rFonts w:ascii="Times New Roman" w:hAnsi="Times New Roman"/>
          <w:i/>
          <w:sz w:val="20"/>
        </w:rPr>
        <w:t>provided</w:t>
      </w:r>
      <w:r>
        <w:rPr>
          <w:rFonts w:ascii="Times New Roman" w:hAnsi="Times New Roman"/>
          <w:sz w:val="20"/>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Redemption of Securities for Sinking Fund</w:t>
      </w:r>
      <w:r>
        <w:rPr>
          <w:rFonts w:ascii="Times New Roman" w:hAnsi="Times New Roman"/>
          <w:sz w:val="20"/>
        </w:rPr>
        <w:t xml:space="preserve">. Not less than 60 days or such other shorter period as may be acceptable to the Trustee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13.02 and will also deliver to the Trustee any Securities to be so delivered. Not less than 30 days before each such sinking fund payment date the Trustee shall select the Securities to be redeemed upon such sinking fund payment date in the manner specified in Section 12.03 and cause notice of the redemption thereof to be given in the name of and at the expense of the Company in the manner provided in Section 12.04. Such notice having been duly given, the redemption of such Securities shall be made upon the terms and in the manner stated in Sections 12.06 and 12.07.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14 </w:t>
      </w:r>
    </w:p>
    <w:p>
      <w:pPr>
        <w:pStyle w:val="TextBody"/>
        <w:bidi w:val="0"/>
        <w:spacing w:before="0" w:after="0"/>
        <w:jc w:val="center"/>
        <w:rPr>
          <w:rFonts w:ascii="Times New Roman" w:hAnsi="Times New Roman"/>
          <w:sz w:val="20"/>
        </w:rPr>
      </w:pPr>
      <w:r>
        <w:rPr>
          <w:rFonts w:ascii="Times New Roman" w:hAnsi="Times New Roman"/>
          <w:sz w:val="20"/>
        </w:rPr>
        <w:t xml:space="preserve">MEETINGS OF HOLDERS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i/>
          <w:sz w:val="20"/>
        </w:rPr>
        <w:t>Purposes for which Meetings may be Called</w:t>
      </w:r>
      <w:r>
        <w:rPr>
          <w:rFonts w:ascii="Times New Roman" w:hAnsi="Times New Roman"/>
          <w:sz w:val="20"/>
        </w:rPr>
        <w:t xml:space="preserve">. If any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i/>
          <w:sz w:val="20"/>
        </w:rPr>
        <w:t>Call, Notice and Place of Meetings</w:t>
      </w:r>
      <w:r>
        <w:rPr>
          <w:rFonts w:ascii="Times New Roman" w:hAnsi="Times New Roman"/>
          <w:sz w:val="20"/>
        </w:rPr>
        <w:t xml:space="preserve">. (a) The Trustee may at any time call a meeting of Holders of Securities of any series issuable as Bearer Securities or as Bearer Securities and Registered Securities for any purpose specified in Section 14.01,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the Company, pursuant to a Board Resolution, or the Holders of at least 10% in principal amount of the Outstanding Securities of any series issuable as Bearer Securities or as Bearer Securities and Registered Securities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i/>
          <w:sz w:val="20"/>
        </w:rPr>
        <w:t>Persons Entitled to Vote at Meetings</w:t>
      </w:r>
      <w:r>
        <w:rPr>
          <w:rFonts w:ascii="Times New Roman" w:hAnsi="Times New Roman"/>
          <w:sz w:val="20"/>
        </w:rPr>
        <w:t xml:space="preserve">. To be entitled to vote at any meeting of Holders of Securities of any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i/>
          <w:sz w:val="20"/>
        </w:rPr>
        <w:t>Quorum; Action</w:t>
      </w:r>
      <w:r>
        <w:rPr>
          <w:rFonts w:ascii="Times New Roman" w:hAnsi="Times New Roman"/>
          <w:sz w:val="20"/>
        </w:rPr>
        <w:t xml:space="preserve">. The Persons entitled to vote a majority in principal amount of the Outstanding Securities of a series shall constitute a quorum for a meeting of Holders of Securities of such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action is to be taken at such meeting with respect to a consent or waiver which this Indenture or the terms of such series expressly provides may be given by the Holders of not less than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specified percentage of the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limited by the proviso to Section 9.02, any resolution with respect to any request, demand, authorization, direction, notice, consent, waiver or other action which this Indenture or the terms of such series expressly provides may be made, given or taken by the Holders of a specified percentage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meeting of Holders of Securities of any series duly held in accordance with this Section shall be binding on all the Holders of Securities of such series and the related coupons, whether or not present or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i/>
          <w:sz w:val="20"/>
        </w:rPr>
        <w:t>Determination of Voting Rights; Conduct and Adjournment of Meetings</w:t>
      </w:r>
      <w:r>
        <w:rPr>
          <w:rFonts w:ascii="Times New Roman" w:hAnsi="Times New Roman"/>
          <w:sz w:val="20"/>
        </w:rPr>
        <w:t xml:space="preserve">. (a) 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(c) At any meeting each Holder of a Security of such series or proxy shall be entitled to one vote for each $1,000 principal amount of the Outstanding Securities of such series held or represented by him;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 </w:t>
      </w:r>
    </w:p>
    <w:p>
      <w:pPr>
        <w:pStyle w:val="TextBody"/>
        <w:bidi w:val="0"/>
        <w:spacing w:before="240" w:after="0"/>
        <w:jc w:val="left"/>
        <w:rPr>
          <w:rFonts w:ascii="Times New Roman" w:hAnsi="Times New Roman"/>
          <w:sz w:val="20"/>
        </w:rPr>
      </w:pPr>
      <w:r>
        <w:rPr>
          <w:rFonts w:ascii="Times New Roman" w:hAnsi="Times New Roman"/>
          <w:sz w:val="20"/>
        </w:rPr>
        <w:t xml:space="preserve">(d) 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i/>
          <w:sz w:val="20"/>
        </w:rPr>
        <w:t>Counting Votes and Recording Action of Meetings</w:t>
      </w:r>
      <w:r>
        <w:rPr>
          <w:rFonts w:ascii="Times New Roman" w:hAnsi="Times New Roman"/>
          <w:sz w:val="20"/>
        </w:rPr>
        <w:t xml:space="preserve">.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14.07. </w:t>
      </w:r>
      <w:r>
        <w:rPr>
          <w:rFonts w:ascii="Times New Roman" w:hAnsi="Times New Roman"/>
          <w:i/>
          <w:sz w:val="20"/>
        </w:rPr>
        <w:t>U.S.A. Patriot Act</w:t>
      </w:r>
      <w:r>
        <w:rPr>
          <w:rFonts w:ascii="Times New Roman" w:hAnsi="Times New Roman"/>
          <w:sz w:val="20"/>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14.08. </w:t>
      </w:r>
      <w:r>
        <w:rPr>
          <w:rFonts w:ascii="Times New Roman" w:hAnsi="Times New Roman"/>
          <w:i/>
          <w:sz w:val="20"/>
        </w:rPr>
        <w:t>Counterpart Originals</w:t>
      </w:r>
      <w:r>
        <w:rPr>
          <w:rFonts w:ascii="Times New Roman" w:hAnsi="Times New Roman"/>
          <w:sz w:val="20"/>
        </w:rPr>
        <w:t xml:space="preserve">. This instrument may be executed in any number of counterparts, each of which so executed shall be deemed to be an original, but all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14.09. </w:t>
      </w:r>
      <w:r>
        <w:rPr>
          <w:rFonts w:ascii="Times New Roman" w:hAnsi="Times New Roman"/>
          <w:i/>
          <w:sz w:val="20"/>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and their respective corporate seals to be hereunto affixed and at attested,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9"/>
        <w:gridCol w:w="97"/>
        <w:gridCol w:w="3306"/>
      </w:tblGrid>
      <w:tr>
        <w:trPr/>
        <w:tc>
          <w:tcPr>
            <w:tcW w:w="67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CAMPBELL’S COMPANY</w:t>
            </w:r>
          </w:p>
        </w:tc>
      </w:tr>
      <w:tr>
        <w:trPr>
          <w:trHeight w:val="240" w:hRule="atLeast"/>
        </w:trPr>
        <w:tc>
          <w:tcPr>
            <w:tcW w:w="679"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06" w:type="dxa"/>
            <w:tcBorders>
              <w:bottom w:val="single" w:sz="2" w:space="0" w:color="000000"/>
            </w:tcBorders>
            <w:tcMar>
              <w:bottom w:w="28" w:type="dxa"/>
            </w:tcMar>
          </w:tcPr>
          <w:p>
            <w:pPr>
              <w:pStyle w:val="TableContents"/>
              <w:bidi w:val="0"/>
              <w:spacing w:before="0" w:after="283"/>
              <w:jc w:val="left"/>
              <w:rPr/>
            </w:pPr>
            <w:r>
              <w:rPr/>
              <w:t> </w:t>
            </w:r>
          </w:p>
        </w:tc>
      </w:tr>
      <w:tr>
        <w:trPr/>
        <w:tc>
          <w:tcPr>
            <w:tcW w:w="67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06" w:type="dxa"/>
            <w:tcBorders/>
            <w:vAlign w:val="bottom"/>
          </w:tcPr>
          <w:p>
            <w:pPr>
              <w:pStyle w:val="TableContents"/>
              <w:bidi w:val="0"/>
              <w:spacing w:before="0" w:after="283"/>
              <w:jc w:val="left"/>
              <w:rPr/>
            </w:pPr>
            <w:r>
              <w:rPr/>
              <w:t>Name:</w:t>
            </w:r>
          </w:p>
        </w:tc>
      </w:tr>
      <w:tr>
        <w:trPr/>
        <w:tc>
          <w:tcPr>
            <w:tcW w:w="67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06" w:type="dxa"/>
            <w:tcBorders/>
            <w:vAlign w:val="bottom"/>
          </w:tcPr>
          <w:p>
            <w:pPr>
              <w:pStyle w:val="TableContents"/>
              <w:bidi w:val="0"/>
              <w:spacing w:before="0" w:after="283"/>
              <w:jc w:val="left"/>
              <w:rPr/>
            </w:pPr>
            <w:r>
              <w:rPr/>
              <w:t>Title:</w:t>
            </w:r>
          </w:p>
        </w:tc>
      </w:tr>
      <w:tr>
        <w:trPr>
          <w:trHeight w:val="240" w:hRule="atLeast"/>
        </w:trPr>
        <w:tc>
          <w:tcPr>
            <w:tcW w:w="679"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06" w:type="dxa"/>
            <w:tcBorders>
              <w:bottom w:val="single" w:sz="2" w:space="0" w:color="000000"/>
            </w:tcBorders>
            <w:tcMar>
              <w:bottom w:w="28" w:type="dxa"/>
            </w:tcMar>
          </w:tcPr>
          <w:p>
            <w:pPr>
              <w:pStyle w:val="TableContents"/>
              <w:bidi w:val="0"/>
              <w:spacing w:before="0" w:after="283"/>
              <w:jc w:val="left"/>
              <w:rPr/>
            </w:pPr>
            <w:r>
              <w:rPr/>
              <w:t> </w:t>
            </w:r>
          </w:p>
        </w:tc>
      </w:tr>
      <w:tr>
        <w:trPr/>
        <w:tc>
          <w:tcPr>
            <w:tcW w:w="67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06" w:type="dxa"/>
            <w:tcBorders/>
            <w:vAlign w:val="bottom"/>
          </w:tcPr>
          <w:p>
            <w:pPr>
              <w:pStyle w:val="TableContents"/>
              <w:bidi w:val="0"/>
              <w:spacing w:before="0" w:after="283"/>
              <w:jc w:val="left"/>
              <w:rPr/>
            </w:pPr>
            <w:r>
              <w:rPr/>
              <w:t>Name:</w:t>
            </w:r>
          </w:p>
        </w:tc>
      </w:tr>
      <w:tr>
        <w:trPr/>
        <w:tc>
          <w:tcPr>
            <w:tcW w:w="67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06"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79"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06" w:type="dxa"/>
            <w:tcBorders>
              <w:bottom w:val="single" w:sz="2" w:space="0" w:color="000000"/>
            </w:tcBorders>
            <w:tcMar>
              <w:bottom w:w="28" w:type="dxa"/>
            </w:tcMar>
          </w:tcPr>
          <w:p>
            <w:pPr>
              <w:pStyle w:val="TableContents"/>
              <w:bidi w:val="0"/>
              <w:spacing w:before="0" w:after="283"/>
              <w:jc w:val="left"/>
              <w:rPr/>
            </w:pPr>
            <w:r>
              <w:rPr/>
              <w:t> </w:t>
            </w:r>
          </w:p>
        </w:tc>
      </w:tr>
      <w:tr>
        <w:trPr/>
        <w:tc>
          <w:tcPr>
            <w:tcW w:w="67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06" w:type="dxa"/>
            <w:tcBorders/>
            <w:vAlign w:val="bottom"/>
          </w:tcPr>
          <w:p>
            <w:pPr>
              <w:pStyle w:val="TableContents"/>
              <w:bidi w:val="0"/>
              <w:spacing w:before="0" w:after="283"/>
              <w:jc w:val="left"/>
              <w:rPr/>
            </w:pPr>
            <w:r>
              <w:rPr/>
              <w:t>Name:</w:t>
            </w:r>
          </w:p>
        </w:tc>
      </w:tr>
      <w:tr>
        <w:trPr/>
        <w:tc>
          <w:tcPr>
            <w:tcW w:w="679"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06" w:type="dxa"/>
            <w:tcBorders/>
            <w:vAlign w:val="bottom"/>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REGISTERED SECURITY]1 </w:t>
      </w:r>
    </w:p>
    <w:p>
      <w:pPr>
        <w:pStyle w:val="TextBody"/>
        <w:bidi w:val="0"/>
        <w:spacing w:before="0" w:after="0"/>
        <w:jc w:val="center"/>
        <w:rPr>
          <w:rFonts w:ascii="Times New Roman" w:hAnsi="Times New Roman"/>
          <w:b/>
          <w:sz w:val="20"/>
        </w:rPr>
      </w:pPr>
      <w:r>
        <w:rPr>
          <w:rFonts w:ascii="Times New Roman" w:hAnsi="Times New Roman"/>
          <w:b/>
          <w:sz w:val="20"/>
        </w:rPr>
        <w:t xml:space="preserve">[Form of Face of Security] </w:t>
      </w:r>
    </w:p>
    <w:p>
      <w:pPr>
        <w:pStyle w:val="TextBody"/>
        <w:bidi w:val="0"/>
        <w:spacing w:before="240" w:after="0"/>
        <w:jc w:val="left"/>
        <w:rPr>
          <w:rFonts w:ascii="Times New Roman" w:hAnsi="Times New Roman"/>
          <w:i/>
          <w:sz w:val="20"/>
        </w:rPr>
      </w:pPr>
      <w:r>
        <w:rPr>
          <w:rFonts w:ascii="Times New Roman" w:hAnsi="Times New Roman"/>
          <w:i/>
          <w:sz w:val="20"/>
        </w:rPr>
        <w:t xml:space="preserve">[If an Original Issue Discount Security, insert any legend required by the Internal Revenue Code and the Regulations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a Book-Entry Security</w:t>
      </w:r>
      <w:r>
        <w:rPr>
          <w:rFonts w:ascii="Times New Roman" w:hAnsi="Times New Roman"/>
          <w:sz w:val="20"/>
        </w:rPr>
        <w:t xml:space="preserve"> – “THIS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 </w:t>
      </w:r>
    </w:p>
    <w:p>
      <w:pPr>
        <w:pStyle w:val="TextBody"/>
        <w:bidi w:val="0"/>
        <w:spacing w:before="480" w:after="0"/>
        <w:jc w:val="center"/>
        <w:rPr>
          <w:rFonts w:ascii="Times New Roman" w:hAnsi="Times New Roman"/>
          <w:sz w:val="20"/>
        </w:rPr>
      </w:pPr>
      <w:r>
        <w:rPr>
          <w:rFonts w:ascii="Times New Roman" w:hAnsi="Times New Roman"/>
          <w:sz w:val="20"/>
        </w:rPr>
        <w:t xml:space="preserve">THE CAMPBELL’S COMPANY </w:t>
      </w:r>
    </w:p>
    <w:tbl>
      <w:tblPr>
        <w:tblW w:w="5000" w:type="pct"/>
        <w:jc w:val="center"/>
        <w:tblInd w:w="0" w:type="dxa"/>
        <w:tblLayout w:type="fixed"/>
        <w:tblCellMar>
          <w:top w:w="0" w:type="dxa"/>
          <w:left w:w="0" w:type="dxa"/>
          <w:bottom w:w="0" w:type="dxa"/>
          <w:right w:w="0" w:type="dxa"/>
        </w:tblCellMar>
      </w:tblPr>
      <w:tblGrid>
        <w:gridCol w:w="5104"/>
        <w:gridCol w:w="122"/>
        <w:gridCol w:w="4979"/>
      </w:tblGrid>
      <w:tr>
        <w:trPr/>
        <w:tc>
          <w:tcPr>
            <w:tcW w:w="51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7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[TITLE OF SECURITY]</w:t>
            </w:r>
          </w:p>
          <w:p>
            <w:pPr>
              <w:pStyle w:val="TableContents"/>
              <w:bidi w:val="0"/>
              <w:spacing w:before="0" w:after="20"/>
              <w:jc w:val="left"/>
              <w:rPr/>
            </w:pPr>
            <w:r>
              <w:rPr/>
              <w:t> </w:t>
            </w:r>
          </w:p>
        </w:tc>
      </w:tr>
      <w:tr>
        <w:trPr/>
        <w:tc>
          <w:tcPr>
            <w:tcW w:w="51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No. [R-] </w:t>
            </w:r>
            <w:r>
              <w:rPr>
                <w:rFonts w:ascii="Times New Roman" w:hAnsi="Times New Roman"/>
                <w:sz w:val="20"/>
                <w:u w:val="single"/>
              </w:rPr>
              <w:t>     </w:t>
            </w:r>
          </w:p>
        </w:tc>
        <w:tc>
          <w:tcPr>
            <w:tcW w:w="122"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[U.S.$]   </w:t>
            </w:r>
            <w:r>
              <w:rPr>
                <w:rFonts w:ascii="Times New Roman" w:hAnsi="Times New Roman"/>
                <w:sz w:val="20"/>
                <w:u w:val="single"/>
              </w:rPr>
              <w:t>    </w:t>
            </w:r>
          </w:p>
        </w:tc>
      </w:tr>
      <w:tr>
        <w:trPr/>
        <w:tc>
          <w:tcPr>
            <w:tcW w:w="51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CUSIP No. </w:t>
            </w:r>
            <w:r>
              <w:rPr>
                <w:rFonts w:ascii="Times New Roman" w:hAnsi="Times New Roman"/>
                <w:sz w:val="20"/>
                <w:u w:val="single"/>
              </w:rPr>
              <w:t>    </w:t>
            </w:r>
          </w:p>
        </w:tc>
      </w:tr>
      <w:tr>
        <w:trPr/>
        <w:tc>
          <w:tcPr>
            <w:tcW w:w="51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ISIN No.   </w:t>
            </w:r>
            <w:r>
              <w:rPr>
                <w:rFonts w:ascii="Times New Roman" w:hAnsi="Times New Roman"/>
                <w:sz w:val="20"/>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is to bear interest at a fixed rate, insert</w:t>
      </w:r>
      <w:r>
        <w:rPr>
          <w:rFonts w:ascii="Times New Roman" w:hAnsi="Times New Roman"/>
          <w:sz w:val="20"/>
        </w:rPr>
        <w:t xml:space="preserve"> – THE CAMPBELL’S COMPANY, a corporation duly organized and existing under the laws of New Jersey (herein called the “</w:t>
      </w:r>
      <w:r>
        <w:rPr>
          <w:rFonts w:ascii="Times New Roman" w:hAnsi="Times New Roman"/>
          <w:b/>
          <w:sz w:val="20"/>
        </w:rPr>
        <w:t>Company</w:t>
      </w:r>
      <w:r>
        <w:rPr>
          <w:rFonts w:ascii="Times New Roman" w:hAnsi="Times New Roman"/>
          <w:sz w:val="20"/>
        </w:rPr>
        <w:t>”, which term includes any successor Person under the Indenture referred to on the reverse hereof), for value received, hereby promises to pay to Cede &amp; Co.2 or registered assigns, the principal sum of [—] U.S. DOLLARS ($[—]) on [—] and to pay interest thereon from [—], or from the most recent Interest Payment Date to which interest has been paid or duly provided for as set forth in the Indenture, semi-annually in arrears on [—] and [—] in each year (each an “</w:t>
      </w:r>
      <w:r>
        <w:rPr>
          <w:rFonts w:ascii="Times New Roman" w:hAnsi="Times New Roman"/>
          <w:b/>
          <w:sz w:val="20"/>
        </w:rPr>
        <w:t>Interest Payment Date</w:t>
      </w:r>
      <w:r>
        <w:rPr>
          <w:rFonts w:ascii="Times New Roman" w:hAnsi="Times New Roman"/>
          <w:sz w:val="20"/>
        </w:rPr>
        <w:t xml:space="preserve">”), commencing on [—] at the rate of [—]% per annum, until the principal hereof is paid or made available for payment as set forth in the Indenture. The interest so payable, and punctually paid or duly provided for as set forth in the Indenture, on any Interest Payment Date will, as provided in such Indenture, be paid to the Holder in whose name this Security (or one or more Predecessor Securities) is registered at the close of business on the Regular Record Date for such interest, which shall be the [—] or [—] (whether or not a Business Day) preceding such Interest Payment Date.]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and supplemented to reflect the terms of any series of Securities.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Depository is DTC.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is to bear interest at a floating rate, insert</w:t>
      </w:r>
      <w:r>
        <w:rPr>
          <w:rFonts w:ascii="Times New Roman" w:hAnsi="Times New Roman"/>
          <w:sz w:val="20"/>
        </w:rPr>
        <w:t xml:space="preserve"> – THE CAMPBELL’S COMPANY, a corporation duly organized and existing under the laws of New Jersey (herein called the “</w:t>
      </w:r>
      <w:r>
        <w:rPr>
          <w:rFonts w:ascii="Times New Roman" w:hAnsi="Times New Roman"/>
          <w:b/>
          <w:sz w:val="20"/>
        </w:rPr>
        <w:t>Company</w:t>
      </w:r>
      <w:r>
        <w:rPr>
          <w:rFonts w:ascii="Times New Roman" w:hAnsi="Times New Roman"/>
          <w:sz w:val="20"/>
        </w:rPr>
        <w:t>”, which term includes any successor Person under the Indenture referred to on the reverse hereof), for value received, hereby promises to pay to Cede &amp; Co. or registered assigns, the principal sum of [—] U.S. DOLLARS ($[—]) on [—] (the “</w:t>
      </w:r>
      <w:r>
        <w:rPr>
          <w:rFonts w:ascii="Times New Roman" w:hAnsi="Times New Roman"/>
          <w:b/>
          <w:sz w:val="20"/>
        </w:rPr>
        <w:t>Final Maturity Date</w:t>
      </w:r>
      <w:r>
        <w:rPr>
          <w:rFonts w:ascii="Times New Roman" w:hAnsi="Times New Roman"/>
          <w:sz w:val="20"/>
        </w:rPr>
        <w:t>”) or any earlier Redemption Date fixed in accordance with the terms of this Security as to the principal repayable on such date. In addition, the Company promises to pay interest on principal amount quarterly in arrears on [—], [—], [—], and [—] (each a “</w:t>
      </w:r>
      <w:r>
        <w:rPr>
          <w:rFonts w:ascii="Times New Roman" w:hAnsi="Times New Roman"/>
          <w:b/>
          <w:sz w:val="20"/>
        </w:rPr>
        <w:t>Interest Payment Date</w:t>
      </w:r>
      <w:r>
        <w:rPr>
          <w:rFonts w:ascii="Times New Roman" w:hAnsi="Times New Roman"/>
          <w:sz w:val="20"/>
        </w:rPr>
        <w:t xml:space="preserve">”), commencing on [—], subject to the Business Day Convention, and until the outstanding principal amount of this Security is fully repaid or duly provided for as set forth in the Indenture. Interest payable on any Interest Payment Date, the Final Maturity Date or, if applicable, any Redemption Date shall be the amount accrued from, and including, the immediately preceding Interest Payment Date in respect of which interest has been paid or duly provided for as set forth in the Indenture (or from [—], if no interest has been paid or duly provided for as set forth in the Indenture) to, but excluding, such Interest Payment Date, Final Maturity Date, or Redemption Date, as the case may be. If the Final Maturity Date or, if applicable, the Redemption Date is not a New York Business Day, the payment of principal and interest shall be made on the next following New York Business Day, and no further interest shall accrue in respect of the delay in such payment. This Security shall cease to bear interest upon, and no interest shall be payable in respect of, the earlier of the Final Maturity Date and, if applicable, the Redemption Date, unless the Company defaults in making payment in full of all amounts due on any such date. </w:t>
      </w:r>
    </w:p>
    <w:p>
      <w:pPr>
        <w:pStyle w:val="TextBody"/>
        <w:bidi w:val="0"/>
        <w:spacing w:before="240" w:after="0"/>
        <w:jc w:val="left"/>
        <w:rPr>
          <w:rFonts w:ascii="Times New Roman" w:hAnsi="Times New Roman"/>
          <w:sz w:val="20"/>
        </w:rPr>
      </w:pPr>
      <w:r>
        <w:rPr>
          <w:rFonts w:ascii="Times New Roman" w:hAnsi="Times New Roman"/>
          <w:sz w:val="20"/>
        </w:rPr>
        <w:t>The interest rate for the period beginning on, and including, [—] and ending on, but not including, the earlier of the first Interest Payment Date or, if applicable, the Redemption Date (the “</w:t>
      </w:r>
      <w:r>
        <w:rPr>
          <w:rFonts w:ascii="Times New Roman" w:hAnsi="Times New Roman"/>
          <w:b/>
          <w:sz w:val="20"/>
        </w:rPr>
        <w:t>Initial Interest Period</w:t>
      </w:r>
      <w:r>
        <w:rPr>
          <w:rFonts w:ascii="Times New Roman" w:hAnsi="Times New Roman"/>
          <w:sz w:val="20"/>
        </w:rPr>
        <w:t xml:space="preserve">”) shall be [—]%. [The interest rate for each Interest Period subsequent to the Initial Interest Period shall be [—], as determined on the applicable Interest Determination Date by the Calculation Agent in accordance with the provisions of the Indenture, plus [—] basis points (0.[—]%).]3 The interest so payable, and punctually paid or duly provided for as set forth in the Indenture, on any Interest Payment Date will, as provided in such Indenture, be paid to the Holder in whose name this Security (or one or more Predecessor Securities) is registered at the close of business on the fifteenth calendar day prior to such Interest Payment Date (whether or not a New York Business Day), each a Regular Record Date with respect to this Security. </w:t>
      </w:r>
    </w:p>
    <w:p>
      <w:pPr>
        <w:pStyle w:val="TextBody"/>
        <w:bidi w:val="0"/>
        <w:spacing w:before="240" w:after="0"/>
        <w:jc w:val="left"/>
        <w:rPr/>
      </w:pPr>
      <w:r>
        <w:rPr/>
        <w:t>“</w:t>
      </w:r>
      <w:r>
        <w:rPr>
          <w:rFonts w:ascii="Times New Roman" w:hAnsi="Times New Roman"/>
          <w:b/>
          <w:sz w:val="20"/>
        </w:rPr>
        <w:t>Business Day Convention</w:t>
      </w:r>
      <w:r>
        <w:rPr>
          <w:rFonts w:ascii="Times New Roman" w:hAnsi="Times New Roman"/>
          <w:sz w:val="20"/>
        </w:rPr>
        <w:t xml:space="preserve">” means if any Interest Payment Date (other than the Final Maturity Date or, if applicable, the Redemption Date) is not a New York Business Day, then such Interest Payment Date shall be postponed to the next succeeding New York Business Day unless that New York Business Day is in the next succeeding calendar month, in which case the Interest Payment Date shall be the immediately preceding New York Business Day. If any such Interest Payment Date (other than the Final Maturity Date or, if applicable, the Redemption Date) is postponed or brought forward as described in the preceding sentence, the interest amount shall be adjusted accordingly and the Holder shall be entitled to more or less interest, respectively.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To be included in the event of floating rate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Calculation Agent</w:t>
      </w:r>
      <w:r>
        <w:rPr>
          <w:rFonts w:ascii="Times New Roman" w:hAnsi="Times New Roman"/>
          <w:sz w:val="20"/>
        </w:rPr>
        <w:t xml:space="preserve">” means [_________], or any other successor appointed from time to time by the Company acting as calculation agent in respect of this Security.]4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Interest Determination Date</w:t>
      </w:r>
      <w:r>
        <w:rPr>
          <w:rFonts w:ascii="Times New Roman" w:hAnsi="Times New Roman"/>
          <w:sz w:val="20"/>
        </w:rPr>
        <w:t xml:space="preserve">” means, for each Interest Reset Date, the second [—] Business Day preceding such Interest Reset Date.]5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the period beginning on, and including an Interest Payment Date and ending on, but not including, the following Interest Payment Date, except that the final Interest Period shall be the period beginning on, and including, the Interest Payment Date immediately preceding the Final Maturity Date or the Redemption Date (if such Redemption Date occurs subsequent to the first Interest Payment Date) in respect of such Security, and ending on, but not including, the Final Maturity Date or such Redemption Date. </w:t>
      </w:r>
    </w:p>
    <w:p>
      <w:pPr>
        <w:pStyle w:val="TextBody"/>
        <w:bidi w:val="0"/>
        <w:spacing w:before="240" w:after="0"/>
        <w:jc w:val="left"/>
        <w:rPr/>
      </w:pPr>
      <w:r>
        <w:rPr/>
        <w:t>“</w:t>
      </w:r>
      <w:r>
        <w:rPr>
          <w:rFonts w:ascii="Times New Roman" w:hAnsi="Times New Roman"/>
          <w:b/>
          <w:sz w:val="20"/>
        </w:rPr>
        <w:t>Interest Reset Date</w:t>
      </w:r>
      <w:r>
        <w:rPr>
          <w:rFonts w:ascii="Times New Roman" w:hAnsi="Times New Roman"/>
          <w:sz w:val="20"/>
        </w:rPr>
        <w:t xml:space="preserve">” means, for each Interest Period other than the Initial Interest Period, the first day of such Interest Period. </w:t>
      </w:r>
    </w:p>
    <w:p>
      <w:pPr>
        <w:pStyle w:val="TextBody"/>
        <w:bidi w:val="0"/>
        <w:spacing w:before="240" w:after="0"/>
        <w:jc w:val="left"/>
        <w:rPr/>
      </w:pPr>
      <w:r>
        <w:rPr/>
        <w:t>“</w:t>
      </w:r>
      <w:r>
        <w:rPr>
          <w:rFonts w:ascii="Times New Roman" w:hAnsi="Times New Roman"/>
          <w:b/>
          <w:sz w:val="20"/>
        </w:rPr>
        <w:t>[—] Business Day</w:t>
      </w:r>
      <w:r>
        <w:rPr>
          <w:rFonts w:ascii="Times New Roman" w:hAnsi="Times New Roman"/>
          <w:sz w:val="20"/>
        </w:rPr>
        <w:t xml:space="preserve">” means any day which is not a Saturday, Sunday, or a day on which commercial banking institutions are authorized or obligated by law, regulation or executive order to be closed in [—].]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Indenture, any such interest not so punctually paid or duly provided for as set forth in the Indenture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bidi w:val="0"/>
        <w:spacing w:before="240" w:after="0"/>
        <w:jc w:val="left"/>
        <w:rPr>
          <w:rFonts w:ascii="Times New Roman" w:hAnsi="Times New Roman"/>
          <w:sz w:val="20"/>
        </w:rPr>
      </w:pPr>
      <w:r>
        <w:rPr>
          <w:rFonts w:ascii="Times New Roman" w:hAnsi="Times New Roman"/>
          <w:sz w:val="20"/>
        </w:rPr>
        <w:t xml:space="preserve">Payment of principal of (and premium, if any) and interest on this Security may be made at the office or agency of the Company maintained for that purpose in New York, New York.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To be included in the event of floating rate Notes.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To be included in the event of floating rate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is to bear interest at a fixed rate and is to be optionally redeemable by the Company at a “make-whole” premium, insert</w:t>
      </w:r>
      <w:r>
        <w:rPr>
          <w:rFonts w:ascii="Times New Roman" w:hAnsi="Times New Roman"/>
          <w:sz w:val="20"/>
        </w:rPr>
        <w:t xml:space="preserve"> – At any time and from time to time, the Securities of this series shall be redeemable, in whole or in part, at the Company’s option, at a Redemption Price equal to the greater of (i) 100% of the principal amount of such Securities, or (ii) as determined by a Quotation Agent,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plus [—] basis points; plus accrued interest on such Securities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such redemption shall be given by mail to Holders of the Securities to be redeemed, not less than 30 days nor more than 60 days prior to the Redemption Date, all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Redemption Date for the Securities or any portion thereof called for redemption, as applicable, interest shall cease to accrue on such Securities or any portion thereof called for redemption, unless the Company defaults in the payment of the Redemption Price and accrued interest, if any. On or before the Redemption Date for such Securities or any portion thereof called for redemption, the Company shall deposit with the Trustee or a Paying Agent, funds sufficient to pay the Redemption Price of such Securities to be redeemed on the Redemption Date, and (except if the Redemption Date shall be an Interest Payment Date)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Securities of this series are to be redeemed, the Depository shall select the Securities to be redeemed in accordance with its operational arrangements. If the Securities are not Global Notes held by the Depository, the Securities to be redeemed shall be selected by the Trustee by such method as the Trustee deems fair and appropriate (and subject to and otherwise in accordance with the procedures of the Depository);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Securities of a principal amount of $2,000 or less be redeemed in part. </w:t>
      </w:r>
    </w:p>
    <w:p>
      <w:pPr>
        <w:pStyle w:val="TextBody"/>
        <w:bidi w:val="0"/>
        <w:spacing w:before="240" w:after="0"/>
        <w:jc w:val="left"/>
        <w:rPr/>
      </w:pPr>
      <w:r>
        <w:rPr/>
        <w:t>“</w:t>
      </w:r>
      <w:r>
        <w:rPr>
          <w:rFonts w:ascii="Times New Roman" w:hAnsi="Times New Roman"/>
          <w:b/>
          <w:sz w:val="20"/>
        </w:rPr>
        <w:t>Adjusted Treasury Rate</w:t>
      </w:r>
      <w:r>
        <w:rPr>
          <w:rFonts w:ascii="Times New Roman" w:hAnsi="Times New Roman"/>
          <w:sz w:val="20"/>
        </w:rPr>
        <w:t xml:space="preserv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w:t>
      </w:r>
    </w:p>
    <w:p>
      <w:pPr>
        <w:pStyle w:val="TextBody"/>
        <w:bidi w:val="0"/>
        <w:spacing w:before="240" w:after="0"/>
        <w:jc w:val="left"/>
        <w:rPr/>
      </w:pPr>
      <w:r>
        <w:rPr/>
        <w:t>“</w:t>
      </w:r>
      <w:r>
        <w:rPr>
          <w:rFonts w:ascii="Times New Roman" w:hAnsi="Times New Roman"/>
          <w:b/>
          <w:sz w:val="20"/>
        </w:rPr>
        <w:t>Comparable Treasury Issue</w:t>
      </w:r>
      <w:r>
        <w:rPr>
          <w:rFonts w:ascii="Times New Roman" w:hAnsi="Times New Roman"/>
          <w:sz w:val="20"/>
        </w:rPr>
        <w:t xml:space="preserv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 </w:t>
      </w:r>
    </w:p>
    <w:p>
      <w:pPr>
        <w:pStyle w:val="TextBody"/>
        <w:bidi w:val="0"/>
        <w:spacing w:before="240" w:after="0"/>
        <w:jc w:val="left"/>
        <w:rPr/>
      </w:pPr>
      <w:r>
        <w:rPr/>
        <w:t>“</w:t>
      </w:r>
      <w:r>
        <w:rPr>
          <w:rFonts w:ascii="Times New Roman" w:hAnsi="Times New Roman"/>
          <w:b/>
          <w:sz w:val="20"/>
        </w:rPr>
        <w:t>Comparable Treasury Price</w:t>
      </w:r>
      <w:r>
        <w:rPr>
          <w:rFonts w:ascii="Times New Roman" w:hAnsi="Times New Roman"/>
          <w:sz w:val="20"/>
        </w:rPr>
        <w:t xml:space="preserve">” means, with respect to any Redemption Date, (1) the average of the Reference Treasury Dealer Quotations for such Redemption Date, after excluding the highest and lowest such Reference Treasury Dealer Quotations, or (2) if the Company obtains fewer than three such Reference Treasury Dealer Quotations, the average of all such Reference Treasury Dealer Quotations.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Quotation Agent</w:t>
      </w:r>
      <w:r>
        <w:rPr>
          <w:rFonts w:ascii="Times New Roman" w:hAnsi="Times New Roman"/>
          <w:sz w:val="20"/>
        </w:rPr>
        <w:t xml:space="preserve">” means the Reference Treasury Dealer appointed by the Company. </w:t>
      </w:r>
    </w:p>
    <w:p>
      <w:pPr>
        <w:pStyle w:val="TextBody"/>
        <w:bidi w:val="0"/>
        <w:spacing w:before="240" w:after="0"/>
        <w:jc w:val="left"/>
        <w:rPr/>
      </w:pPr>
      <w:r>
        <w:rPr/>
        <w:t>“</w:t>
      </w:r>
      <w:r>
        <w:rPr>
          <w:rFonts w:ascii="Times New Roman" w:hAnsi="Times New Roman"/>
          <w:b/>
          <w:sz w:val="20"/>
        </w:rPr>
        <w:t>Reference Treasury Dealer</w:t>
      </w:r>
      <w:r>
        <w:rPr>
          <w:rFonts w:ascii="Times New Roman" w:hAnsi="Times New Roman"/>
          <w:sz w:val="20"/>
        </w:rPr>
        <w:t xml:space="preserve">” means (1) [—], [—] and [—] and their respective successors;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any of the foregoing shall cease to be a primary U.S. Government securities dealer in the State of New York or the State of Connecticut (a “</w:t>
      </w:r>
      <w:r>
        <w:rPr>
          <w:rFonts w:ascii="Times New Roman" w:hAnsi="Times New Roman"/>
          <w:b/>
          <w:sz w:val="20"/>
        </w:rPr>
        <w:t>Primary Treasury Dealer</w:t>
      </w:r>
      <w:r>
        <w:rPr>
          <w:rFonts w:ascii="Times New Roman" w:hAnsi="Times New Roman"/>
          <w:sz w:val="20"/>
        </w:rPr>
        <w:t xml:space="preserve">”), the Company shall substitute therefor another Primary Treasury Dealer; and (2) any other Primary Treasury Dealer selected by the Company. </w:t>
      </w:r>
    </w:p>
    <w:p>
      <w:pPr>
        <w:pStyle w:val="TextBody"/>
        <w:bidi w:val="0"/>
        <w:spacing w:before="240" w:after="0"/>
        <w:jc w:val="left"/>
        <w:rPr/>
      </w:pPr>
      <w:r>
        <w:rPr/>
        <w:t>“</w:t>
      </w:r>
      <w:r>
        <w:rPr>
          <w:rFonts w:ascii="Times New Roman" w:hAnsi="Times New Roman"/>
          <w:b/>
          <w:sz w:val="20"/>
        </w:rPr>
        <w:t>Reference Treasury Dealer Quotations</w:t>
      </w:r>
      <w:r>
        <w:rPr>
          <w:rFonts w:ascii="Times New Roman" w:hAnsi="Times New Roman"/>
          <w:sz w:val="20"/>
        </w:rPr>
        <w:t xml:space="preserve">”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at 5:00 p.m. on the third New York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side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directly or through an Authenticating Agent, by manual signature of an authorized signatory,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7"/>
        <w:gridCol w:w="87"/>
        <w:gridCol w:w="3488"/>
      </w:tblGrid>
      <w:tr>
        <w:trPr/>
        <w:tc>
          <w:tcPr>
            <w:tcW w:w="507"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CAMPBELL’S COMPANY</w:t>
            </w:r>
          </w:p>
        </w:tc>
      </w:tr>
      <w:tr>
        <w:trPr>
          <w:trHeight w:val="240" w:hRule="atLeast"/>
        </w:trPr>
        <w:tc>
          <w:tcPr>
            <w:tcW w:w="507" w:type="dxa"/>
            <w:tcBorders/>
            <w:vAlign w:val="center"/>
          </w:tcPr>
          <w:p>
            <w:pPr>
              <w:pStyle w:val="TableContents"/>
              <w:bidi w:val="0"/>
              <w:spacing w:before="0" w:after="283"/>
              <w:jc w:val="left"/>
              <w:rPr>
                <w:sz w:val="4"/>
                <w:szCs w:val="4"/>
              </w:rPr>
            </w:pPr>
            <w:r>
              <w:rPr>
                <w:sz w:val="4"/>
                <w:szCs w:val="4"/>
              </w:rPr>
            </w:r>
          </w:p>
        </w:tc>
        <w:tc>
          <w:tcPr>
            <w:tcW w:w="3575" w:type="dxa"/>
            <w:gridSpan w:val="2"/>
            <w:tcBorders/>
            <w:vAlign w:val="center"/>
          </w:tcPr>
          <w:p>
            <w:pPr>
              <w:pStyle w:val="TableContents"/>
              <w:bidi w:val="0"/>
              <w:spacing w:before="0" w:after="283"/>
              <w:jc w:val="left"/>
              <w:rPr>
                <w:sz w:val="4"/>
                <w:szCs w:val="4"/>
              </w:rPr>
            </w:pPr>
            <w:r>
              <w:rPr>
                <w:sz w:val="4"/>
                <w:szCs w:val="4"/>
              </w:rPr>
            </w:r>
          </w:p>
        </w:tc>
      </w:tr>
      <w:tr>
        <w:trPr/>
        <w:tc>
          <w:tcPr>
            <w:tcW w:w="507"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8" w:type="dxa"/>
            <w:tcBorders>
              <w:bottom w:val="single" w:sz="2" w:space="0" w:color="000000"/>
            </w:tcBorders>
            <w:tcMar>
              <w:bottom w:w="28" w:type="dxa"/>
            </w:tcMar>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507" w:type="dxa"/>
            <w:tcBorders/>
            <w:vAlign w:val="center"/>
          </w:tcPr>
          <w:p>
            <w:pPr>
              <w:pStyle w:val="TableContents"/>
              <w:bidi w:val="0"/>
              <w:spacing w:before="0" w:after="283"/>
              <w:jc w:val="left"/>
              <w:rPr>
                <w:sz w:val="4"/>
                <w:szCs w:val="4"/>
              </w:rPr>
            </w:pPr>
            <w:r>
              <w:rPr>
                <w:sz w:val="4"/>
                <w:szCs w:val="4"/>
              </w:rPr>
            </w:r>
          </w:p>
        </w:tc>
        <w:tc>
          <w:tcPr>
            <w:tcW w:w="3575" w:type="dxa"/>
            <w:gridSpan w:val="2"/>
            <w:tcBorders/>
            <w:vAlign w:val="center"/>
          </w:tcPr>
          <w:p>
            <w:pPr>
              <w:pStyle w:val="TableContents"/>
              <w:bidi w:val="0"/>
              <w:spacing w:before="0" w:after="283"/>
              <w:jc w:val="left"/>
              <w:rPr>
                <w:sz w:val="4"/>
                <w:szCs w:val="4"/>
              </w:rPr>
            </w:pPr>
            <w:r>
              <w:rPr>
                <w:sz w:val="4"/>
                <w:szCs w:val="4"/>
              </w:rPr>
            </w:r>
          </w:p>
        </w:tc>
      </w:tr>
      <w:tr>
        <w:trPr/>
        <w:tc>
          <w:tcPr>
            <w:tcW w:w="507"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8" w:type="dxa"/>
            <w:tcBorders>
              <w:bottom w:val="single" w:sz="2" w:space="0" w:color="000000"/>
            </w:tcBorders>
            <w:tcMar>
              <w:bottom w:w="28" w:type="dxa"/>
            </w:tcMar>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sz w:val="20"/>
        </w:rPr>
      </w:pPr>
      <w:r>
        <w:rPr>
          <w:rFonts w:ascii="Times New Roman" w:hAnsi="Times New Roman"/>
          <w:sz w:val="20"/>
        </w:rPr>
        <w:t xml:space="preserve">[seal]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herein referred to in the within 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 </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b/>
          <w:sz w:val="20"/>
        </w:rPr>
        <w:t>Securities</w:t>
      </w:r>
      <w:r>
        <w:rPr>
          <w:rFonts w:ascii="Times New Roman" w:hAnsi="Times New Roman"/>
          <w:sz w:val="20"/>
        </w:rPr>
        <w:t>”), issued and to be issued in one or more series under an indenture, dated as of     , 20   (the “</w:t>
      </w:r>
      <w:r>
        <w:rPr>
          <w:rFonts w:ascii="Times New Roman" w:hAnsi="Times New Roman"/>
          <w:b/>
          <w:sz w:val="20"/>
        </w:rPr>
        <w:t>Indenture</w:t>
      </w:r>
      <w:r>
        <w:rPr>
          <w:rFonts w:ascii="Times New Roman" w:hAnsi="Times New Roman"/>
          <w:sz w:val="20"/>
        </w:rPr>
        <w:t>”), between the Company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subject to optional redemption, as further described in the Indenture and on the face hereof. There is no mandatory redemption applicable to the Securities of this series.]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not entitled to the benefit of, or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the principal of the Securities of this series may be declared due and payable in the manner and with the effect provided in the Indenture. Upon payment (i) of the amount of principal so declared due and payable and (ii) of interest on any overdue principal and overdue interest (in each case to the extent that the payment of such interest shall be legally enforceable), all of the Company’s obligations in respect of the payment of the principal of and interest, if any, on the Securities of this series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except in specified cases,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(with each series voting as a separate class in certain cases specified in the Indenture, or with all series voting as one class, in certain other cases specified in the Indenture),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notification of such consent or waiver is made upon this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principal, interest, penalties, fees, indemnifications, reimbursements, damages and other liabilities payable under the documentation governing any indebtedness due with respect to this Security is subordinated to the prior payment of Senior Debt on the terms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set forth in, and subject to, the provisions of the Indenture, no Holder of any Security of this series will have any right to institute any proceeding with respect to the Indenture or for any remedy thereunder, unless such Holder shall have previously given to the Trustee written notice of a continuing Event of Default with respect to this series, the Holders of not less than 25% in principal amount of the Outstanding Securities of this series shall have made written request, and offered the Trustee indemnity and/or security satisfactory to the Trustee to institute such proceeding as Trustee, and the Trustee shall not have received from the Holders of a majority in principal amount of the Outstanding Securities of this series a direction inconsistent with such request and shall have failed to institute such proceedings within 60 days;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limitations do not apply to a suit instituted by the Holder hereof for the enforcement of payment of the principal of (and premium, if any) or interest on this Security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premium, if any) and interest on this Security at the times, places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premium, if any) and interest on such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 of $1,000 in excess of $2,000.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the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and the Securities shall be governed by and construed in accordance with the laws of the State of New York, without giving effect to the conflicts of laws provisions thereof.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BEARER SECURITY AND </w:t>
      </w:r>
    </w:p>
    <w:p>
      <w:pPr>
        <w:pStyle w:val="TextBody"/>
        <w:bidi w:val="0"/>
        <w:spacing w:before="0" w:after="0"/>
        <w:jc w:val="center"/>
        <w:rPr>
          <w:rFonts w:ascii="Times New Roman" w:hAnsi="Times New Roman"/>
          <w:b/>
          <w:sz w:val="20"/>
        </w:rPr>
      </w:pPr>
      <w:r>
        <w:rPr>
          <w:rFonts w:ascii="Times New Roman" w:hAnsi="Times New Roman"/>
          <w:b/>
          <w:sz w:val="20"/>
        </w:rPr>
        <w:t xml:space="preserve">FORM OF RELATED COUPON]6 </w:t>
      </w:r>
    </w:p>
    <w:p>
      <w:pPr>
        <w:pStyle w:val="TextBody"/>
        <w:bidi w:val="0"/>
        <w:spacing w:before="0" w:after="0"/>
        <w:jc w:val="center"/>
        <w:rPr>
          <w:rFonts w:ascii="Times New Roman" w:hAnsi="Times New Roman"/>
          <w:b/>
          <w:sz w:val="20"/>
        </w:rPr>
      </w:pPr>
      <w:r>
        <w:rPr>
          <w:rFonts w:ascii="Times New Roman" w:hAnsi="Times New Roman"/>
          <w:b/>
          <w:sz w:val="20"/>
        </w:rPr>
        <w:t xml:space="preserve">[Form of Face of Security] </w:t>
      </w:r>
    </w:p>
    <w:p>
      <w:pPr>
        <w:pStyle w:val="TextBody"/>
        <w:bidi w:val="0"/>
        <w:spacing w:before="240" w:after="0"/>
        <w:jc w:val="left"/>
        <w:rPr>
          <w:rFonts w:ascii="Times New Roman" w:hAnsi="Times New Roman"/>
          <w:sz w:val="20"/>
        </w:rPr>
      </w:pPr>
      <w:r>
        <w:rPr>
          <w:rFonts w:ascii="Times New Roman" w:hAnsi="Times New Roman"/>
          <w:sz w:val="20"/>
        </w:rPr>
        <w:t>ANY UNITED STATES PERSON WHO HOLDS THIS OBLIGATION WILL BE SUBJECT TO LIMITATIONS UNDER THE UNITED STATES INCOME TAX LAWS, INCLUDING THE LIMITATIONS PROVIDED IN SECTIONS 165(j) AND 1287(a) OF THE INTERNAL REVENUE CODE [</w:t>
      </w:r>
      <w:r>
        <w:rPr>
          <w:rFonts w:ascii="Times New Roman" w:hAnsi="Times New Roman"/>
          <w:i/>
          <w:sz w:val="20"/>
        </w:rPr>
        <w:t>If an Original Issue Discount Security, insert any legend required by the Internal Revenue Code and the Regulations thereunder.</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0"/>
        <w:gridCol w:w="4901"/>
      </w:tblGrid>
      <w:tr>
        <w:trPr/>
        <w:tc>
          <w:tcPr>
            <w:tcW w:w="51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The Campbell’s Company</w:t>
            </w:r>
          </w:p>
        </w:tc>
      </w:tr>
      <w:tr>
        <w:trPr>
          <w:trHeight w:val="240" w:hRule="atLeast"/>
        </w:trPr>
        <w:tc>
          <w:tcPr>
            <w:tcW w:w="5184" w:type="dxa"/>
            <w:tcBorders/>
            <w:vAlign w:val="center"/>
          </w:tcPr>
          <w:p>
            <w:pPr>
              <w:pStyle w:val="TableContents"/>
              <w:bidi w:val="0"/>
              <w:spacing w:before="0" w:after="283"/>
              <w:jc w:val="left"/>
              <w:rPr>
                <w:sz w:val="4"/>
                <w:szCs w:val="4"/>
              </w:rPr>
            </w:pPr>
            <w:r>
              <w:rPr>
                <w:sz w:val="4"/>
                <w:szCs w:val="4"/>
              </w:rPr>
            </w:r>
          </w:p>
        </w:tc>
        <w:tc>
          <w:tcPr>
            <w:tcW w:w="5021" w:type="dxa"/>
            <w:gridSpan w:val="2"/>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pPr>
            <w:r>
              <w:rPr/>
              <w:t xml:space="preserve">No. B </w:t>
            </w:r>
            <w:r>
              <w:rPr>
                <w:u w:val="single"/>
              </w:rPr>
              <w:t>      </w:t>
            </w:r>
          </w:p>
        </w:tc>
        <w:tc>
          <w:tcPr>
            <w:tcW w:w="120"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right"/>
              <w:rPr/>
            </w:pPr>
            <w:r>
              <w:rPr/>
              <w:t xml:space="preserve">[U.S.$ </w:t>
            </w:r>
            <w:r>
              <w:rPr>
                <w:u w:val="single"/>
              </w:rPr>
              <w:t>      </w:t>
            </w:r>
            <w:r>
              <w:rPr/>
              <w:t>]</w:t>
            </w:r>
          </w:p>
        </w:tc>
      </w:tr>
    </w:tbl>
    <w:p>
      <w:pPr>
        <w:pStyle w:val="TextBody"/>
        <w:bidi w:val="0"/>
        <w:spacing w:before="240" w:after="0"/>
        <w:jc w:val="left"/>
        <w:rPr>
          <w:rFonts w:ascii="Times New Roman" w:hAnsi="Times New Roman"/>
          <w:sz w:val="20"/>
        </w:rPr>
      </w:pPr>
      <w:r>
        <w:rPr>
          <w:rFonts w:ascii="Times New Roman" w:hAnsi="Times New Roman"/>
          <w:sz w:val="20"/>
        </w:rPr>
        <w:t>THE CAMPBELL’S COMPANY, a corporation duly organized and existing under the laws of New Jersey (herein called the “</w:t>
      </w:r>
      <w:r>
        <w:rPr>
          <w:rFonts w:ascii="Times New Roman" w:hAnsi="Times New Roman"/>
          <w:b/>
          <w:sz w:val="20"/>
        </w:rPr>
        <w:t>Company</w:t>
      </w:r>
      <w:r>
        <w:rPr>
          <w:rFonts w:ascii="Times New Roman" w:hAnsi="Times New Roman"/>
          <w:sz w:val="20"/>
        </w:rPr>
        <w:t>”, which term includes any successor Person under the Indenture referred to on the reverse hereof), for value received, hereby promises to pay to bearer upon presentation and surrender of this Security the principal sum of    [United States dollars] on    [</w:t>
      </w:r>
      <w:r>
        <w:rPr>
          <w:rFonts w:ascii="Times New Roman" w:hAnsi="Times New Roman"/>
          <w:i/>
          <w:sz w:val="20"/>
        </w:rPr>
        <w:t>if the Security is interest-bearing, insert –</w:t>
      </w:r>
      <w:r>
        <w:rPr>
          <w:rFonts w:ascii="Times New Roman" w:hAnsi="Times New Roman"/>
          <w:sz w:val="20"/>
        </w:rPr>
        <w:t>, and to pay interest thereon, from the date hereof, [semi-annually in arrears on    and    in each year] [annually in arrears on    in each year], commencing     , 20  , at the rate of % per annum, until the principal hereof is paid or made available for payment [</w:t>
      </w:r>
      <w:r>
        <w:rPr>
          <w:rFonts w:ascii="Times New Roman" w:hAnsi="Times New Roman"/>
          <w:i/>
          <w:sz w:val="20"/>
        </w:rPr>
        <w:t>if applicable, insert</w:t>
      </w:r>
      <w:r>
        <w:rPr>
          <w:rFonts w:ascii="Times New Roman" w:hAnsi="Times New Roman"/>
          <w:sz w:val="20"/>
        </w:rPr>
        <w:t xml:space="preserve"> –, and (to the extent that the payment of such interest shall be legally enforceable) at the rate of % per annum on any overdue principal and premium and on any overdue installment of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is not to bear interest prior to Maturity. insert</w:t>
      </w:r>
      <w:r>
        <w:rPr>
          <w:rFonts w:ascii="Times New Roman" w:hAnsi="Times New Roman"/>
          <w:sz w:val="20"/>
        </w:rPr>
        <w:t xml:space="preserve"> – The principal of this Security shall not bear interest except in the case of a default in payment of principal upon acceleration, upon redemption or at Stated Maturity,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 Such payments [(including premium, if any)] shall be made, subject to any laws or regulations applicable thereto and to the right of the Company (limited as provided in the Indenture) to rescind the designation of any such Paying Agent, at the [main] office of     in   ,    in   , in   ,   in    and in   , or at such other offices or agencies outside the United States (as defined below)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and supplemented to reflect the terms of any series of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the Company may designate, at the option of the Holder, by [United States dollar] check drawn on a bank in the City of New York or by transfer of [United States dollars] to an account maintained by the payee with a bank located outside the United States. [</w:t>
      </w:r>
      <w:r>
        <w:rPr>
          <w:rFonts w:ascii="Times New Roman" w:hAnsi="Times New Roman"/>
          <w:i/>
          <w:sz w:val="20"/>
        </w:rPr>
        <w:t>If the Security is interest-bearing, insert</w:t>
      </w:r>
      <w:r>
        <w:rPr>
          <w:rFonts w:ascii="Times New Roman" w:hAnsi="Times New Roman"/>
          <w:sz w:val="20"/>
        </w:rPr>
        <w:t xml:space="preserve"> – Interest on this Security due on or before Maturity shall be payable only upon presentation and surrender at such an office or agency of the interest coupons hereto attached as they severally mature.] No payment of principal[, or] [premium] [or interest)] on this Security shall be made at any office or agency of the Company in the United States or by check mailed to any address in the United States or by transfer to an account maintained with a bank located in the United States [</w:t>
      </w:r>
      <w:r>
        <w:rPr>
          <w:rFonts w:ascii="Times New Roman" w:hAnsi="Times New Roman"/>
          <w:i/>
          <w:sz w:val="20"/>
        </w:rPr>
        <w:t>if Security is denominated and payable in United Sates dollars, insert</w:t>
      </w:r>
      <w:r>
        <w:rPr>
          <w:rFonts w:ascii="Times New Roman" w:hAnsi="Times New Roman"/>
          <w:sz w:val="20"/>
        </w:rPr>
        <w:t xml:space="preserve">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 of principal of [(and premium, if any)] and [any] interest on this Security (including any additional amounts which may be payable as provided below) shall be made at the office of the Company’s Paying Agent in the United States of America, if (but only if) payment in United States dollars of the full amount of such principal[, premium] [, interest] or additional amounts, as the case may be, at all offices or agencies outside the United States maintained for the purpose by the Company in accordance with the Indenture is illegal or effectively precluded by exchange controls or other similar restrictions, as determined by the Company). </w:t>
      </w:r>
    </w:p>
    <w:p>
      <w:pPr>
        <w:pStyle w:val="TextBody"/>
        <w:bidi w:val="0"/>
        <w:spacing w:before="240" w:after="0"/>
        <w:jc w:val="left"/>
        <w:rPr>
          <w:rFonts w:ascii="Times New Roman" w:hAnsi="Times New Roman"/>
          <w:sz w:val="20"/>
        </w:rPr>
      </w:pPr>
      <w:r>
        <w:rPr>
          <w:rFonts w:ascii="Times New Roman" w:hAnsi="Times New Roman"/>
          <w:sz w:val="20"/>
        </w:rPr>
        <w:t>The Company will pay to the Holder of this Security [</w:t>
      </w:r>
      <w:r>
        <w:rPr>
          <w:rFonts w:ascii="Times New Roman" w:hAnsi="Times New Roman"/>
          <w:i/>
          <w:sz w:val="20"/>
        </w:rPr>
        <w:t>if the Security is interest-bearing insert</w:t>
      </w:r>
      <w:r>
        <w:rPr>
          <w:rFonts w:ascii="Times New Roman" w:hAnsi="Times New Roman"/>
          <w:sz w:val="20"/>
        </w:rPr>
        <w:t xml:space="preserve"> – or any coupon appertaining hereto] who is a United States Alien (as defined below) such additional amounts as may be necessary in order that [</w:t>
      </w:r>
      <w:r>
        <w:rPr>
          <w:rFonts w:ascii="Times New Roman" w:hAnsi="Times New Roman"/>
          <w:i/>
          <w:sz w:val="20"/>
        </w:rPr>
        <w:t>if the Security is interest-bearing, insert</w:t>
      </w:r>
      <w:r>
        <w:rPr>
          <w:rFonts w:ascii="Times New Roman" w:hAnsi="Times New Roman"/>
          <w:sz w:val="20"/>
        </w:rPr>
        <w:t xml:space="preserve"> – every net payment of the principal of [(and premium if any)] and interest on this Security] [</w:t>
      </w:r>
      <w:r>
        <w:rPr>
          <w:rFonts w:ascii="Times New Roman" w:hAnsi="Times New Roman"/>
          <w:i/>
          <w:sz w:val="20"/>
        </w:rPr>
        <w:t>if the Security is not to bear interest prior to Maturity, insert</w:t>
      </w:r>
      <w:r>
        <w:rPr>
          <w:rFonts w:ascii="Times New Roman" w:hAnsi="Times New Roman"/>
          <w:sz w:val="20"/>
        </w:rPr>
        <w:t xml:space="preserve"> – (i) the net payment of principal of (and interest on overdue principal, if any, on) this Security and (ii) the net proceeds from the sale or exchange of this Security, including, in each case, amounts received in respect of original issue discount), after deduction or withholding for or on account of any present or future tax, assessment or other governmental charge imposed by the United States or any political subdivision or taxing authority thereof or therein upon or as a result of such payment [i</w:t>
      </w:r>
      <w:r>
        <w:rPr>
          <w:rFonts w:ascii="Times New Roman" w:hAnsi="Times New Roman"/>
          <w:i/>
          <w:sz w:val="20"/>
        </w:rPr>
        <w:t>f the Security is not to bear interest prior to Maturity, insert</w:t>
      </w:r>
      <w:r>
        <w:rPr>
          <w:rFonts w:ascii="Times New Roman" w:hAnsi="Times New Roman"/>
          <w:sz w:val="20"/>
        </w:rPr>
        <w:t xml:space="preserve"> – or as a result of such sale or exchange], will not be less than the amount provided for in this Security [</w:t>
      </w:r>
      <w:r>
        <w:rPr>
          <w:rFonts w:ascii="Times New Roman" w:hAnsi="Times New Roman"/>
          <w:i/>
          <w:sz w:val="20"/>
        </w:rPr>
        <w:t>if the Security is interest-bearing, insert</w:t>
      </w:r>
      <w:r>
        <w:rPr>
          <w:rFonts w:ascii="Times New Roman" w:hAnsi="Times New Roman"/>
          <w:sz w:val="20"/>
        </w:rPr>
        <w:t xml:space="preserve"> – or in such coupons] to be then due and payable [</w:t>
      </w:r>
      <w:r>
        <w:rPr>
          <w:rFonts w:ascii="Times New Roman" w:hAnsi="Times New Roman"/>
          <w:i/>
          <w:sz w:val="20"/>
        </w:rPr>
        <w:t>if the Security is not to bear interest prior to Maturity, insert</w:t>
      </w:r>
      <w:r>
        <w:rPr>
          <w:rFonts w:ascii="Times New Roman" w:hAnsi="Times New Roman"/>
          <w:sz w:val="20"/>
        </w:rPr>
        <w:t xml:space="preserve"> – or, in the case of a sale or exchange, the amount of the net proceeds from the sale or exchange before any such tax, assessment or other governmental charge];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obligation to pay additional amounts will not apply to any one or more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tax, assessment or other governmental charge which would not have been so imposed but for (i) the existence of any present or former connection between such Holder (or between a fiduciary, settlor, beneficiary or member of, or possessor of a power over, such Holder, if such Holder is an estate, a trust or a partnership) and the United States, including, without limitation, such Holder (or such fiduciary, settlor, beneficiary, member or possessor) being or having been a citizen or resident or treated as a resident thereof, or being or having been engaged in trade or business or present therein, or having or having had a permanent establishment therein, or (ii) such Holder’s present or former status as a personal holding company, a foreign personal holding company, a controlled foreign corporation for United States tax purposes or a corporation which accumulates earnings to avoid United States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any tax, assessment or other governmental charge imposed [</w:t>
      </w:r>
      <w:r>
        <w:rPr>
          <w:rFonts w:ascii="Times New Roman" w:hAnsi="Times New Roman"/>
          <w:i/>
          <w:sz w:val="20"/>
        </w:rPr>
        <w:t>if the Security is interest-bearing, insert</w:t>
      </w:r>
      <w:r>
        <w:rPr>
          <w:rFonts w:ascii="Times New Roman" w:hAnsi="Times New Roman"/>
          <w:sz w:val="20"/>
        </w:rPr>
        <w:t xml:space="preserve"> – on interest received by a Person holding, actually or constructively, 10% or more of the total combined voting power of all classes of stock of the Company entitled to vote)] [</w:t>
      </w:r>
      <w:r>
        <w:rPr>
          <w:rFonts w:ascii="Times New Roman" w:hAnsi="Times New Roman"/>
          <w:i/>
          <w:sz w:val="20"/>
        </w:rPr>
        <w:t>if the Security is not to bear interest prior to Maturity, insert</w:t>
      </w:r>
      <w:r>
        <w:rPr>
          <w:rFonts w:ascii="Times New Roman" w:hAnsi="Times New Roman"/>
          <w:sz w:val="20"/>
        </w:rPr>
        <w:t xml:space="preserve"> – by reason of such Holder’s past or present status as the actual or constructive owner of 10% or more of the total combined voting power of all classes of stock of the Company entitled to vote]; </w:t>
      </w:r>
    </w:p>
    <w:p>
      <w:pPr>
        <w:pStyle w:val="TextBody"/>
        <w:bidi w:val="0"/>
        <w:spacing w:before="120" w:after="0"/>
        <w:jc w:val="left"/>
        <w:rPr>
          <w:rFonts w:ascii="Times New Roman" w:hAnsi="Times New Roman"/>
          <w:sz w:val="20"/>
        </w:rPr>
      </w:pPr>
      <w:r>
        <w:rPr>
          <w:rFonts w:ascii="Times New Roman" w:hAnsi="Times New Roman"/>
          <w:sz w:val="20"/>
        </w:rPr>
        <w:t>(c) any tax, assessment or other governmental charge which would not have been imposed but for the failure to comply with any certification, identification or other reporting requirements concerning the nationality, residence, identity or connection with the United States of the Holder or beneficial owner of this Security [</w:t>
      </w:r>
      <w:r>
        <w:rPr>
          <w:rFonts w:ascii="Times New Roman" w:hAnsi="Times New Roman"/>
          <w:i/>
          <w:sz w:val="20"/>
        </w:rPr>
        <w:t>if the Security is interest-bearing, insert</w:t>
      </w:r>
      <w:r>
        <w:rPr>
          <w:rFonts w:ascii="Times New Roman" w:hAnsi="Times New Roman"/>
          <w:sz w:val="20"/>
        </w:rPr>
        <w:t xml:space="preserve"> – or any coupon appertaining hereto], if compliance is required by statute or by regulation of the United States Treasury Department as a precondition to exemption from such tax, assessment or other governmental charge; </w:t>
      </w:r>
    </w:p>
    <w:p>
      <w:pPr>
        <w:pStyle w:val="TextBody"/>
        <w:bidi w:val="0"/>
        <w:spacing w:before="120" w:after="0"/>
        <w:jc w:val="left"/>
        <w:rPr>
          <w:rFonts w:ascii="Times New Roman" w:hAnsi="Times New Roman"/>
          <w:sz w:val="20"/>
        </w:rPr>
      </w:pPr>
      <w:r>
        <w:rPr>
          <w:rFonts w:ascii="Times New Roman" w:hAnsi="Times New Roman"/>
          <w:sz w:val="20"/>
        </w:rPr>
        <w:t xml:space="preserve">(d) any estate inheritance, gift, sales, transfer, personal property or any similar tax, assessment or governmental charge; </w:t>
      </w:r>
    </w:p>
    <w:p>
      <w:pPr>
        <w:pStyle w:val="TextBody"/>
        <w:bidi w:val="0"/>
        <w:spacing w:before="120" w:after="0"/>
        <w:jc w:val="left"/>
        <w:rPr>
          <w:rFonts w:ascii="Times New Roman" w:hAnsi="Times New Roman"/>
          <w:sz w:val="20"/>
        </w:rPr>
      </w:pPr>
      <w:r>
        <w:rPr>
          <w:rFonts w:ascii="Times New Roman" w:hAnsi="Times New Roman"/>
          <w:sz w:val="20"/>
        </w:rPr>
        <w:t>(e) any tax, assessment or other governmental charge which is payable otherwise than, by deduction or withholding from payments of [</w:t>
      </w:r>
      <w:r>
        <w:rPr>
          <w:rFonts w:ascii="Times New Roman" w:hAnsi="Times New Roman"/>
          <w:i/>
          <w:sz w:val="20"/>
        </w:rPr>
        <w:t>if the Security is interest-bearing, insert</w:t>
      </w:r>
      <w:r>
        <w:rPr>
          <w:rFonts w:ascii="Times New Roman" w:hAnsi="Times New Roman"/>
          <w:sz w:val="20"/>
        </w:rPr>
        <w:t xml:space="preserve"> – principal of [(and premium, if any)] or interest on this Security.] [</w:t>
      </w:r>
      <w:r>
        <w:rPr>
          <w:rFonts w:ascii="Times New Roman" w:hAnsi="Times New Roman"/>
          <w:i/>
          <w:sz w:val="20"/>
        </w:rPr>
        <w:t>If the Security is not to bear interest prior to Maturity, insert</w:t>
      </w:r>
      <w:r>
        <w:rPr>
          <w:rFonts w:ascii="Times New Roman" w:hAnsi="Times New Roman"/>
          <w:sz w:val="20"/>
        </w:rPr>
        <w:t xml:space="preserve"> – principal of (or interest on overdue principal, if any, on) this Security or from payments from the proceeds of a sale or exchange of this Security]; or </w:t>
      </w:r>
    </w:p>
    <w:p>
      <w:pPr>
        <w:pStyle w:val="TextBody"/>
        <w:bidi w:val="0"/>
        <w:spacing w:before="120" w:after="0"/>
        <w:jc w:val="left"/>
        <w:rPr>
          <w:rFonts w:ascii="Times New Roman" w:hAnsi="Times New Roman"/>
          <w:sz w:val="20"/>
        </w:rPr>
      </w:pPr>
      <w:r>
        <w:rPr>
          <w:rFonts w:ascii="Times New Roman" w:hAnsi="Times New Roman"/>
          <w:sz w:val="20"/>
        </w:rPr>
        <w:t>(f) any tax, assessment or other governmental charge which would not have been so imposed but for the presentation by the Holder of this Security [</w:t>
      </w:r>
      <w:r>
        <w:rPr>
          <w:rFonts w:ascii="Times New Roman" w:hAnsi="Times New Roman"/>
          <w:i/>
          <w:sz w:val="20"/>
        </w:rPr>
        <w:t>if Security is interest-bearing insert</w:t>
      </w:r>
      <w:r>
        <w:rPr>
          <w:rFonts w:ascii="Times New Roman" w:hAnsi="Times New Roman"/>
          <w:sz w:val="20"/>
        </w:rPr>
        <w:t xml:space="preserve"> – or any coupon appertaining hereto] for payment on a date more than 15 days after the date on which such payment became due and payable or the date on which payment thereof is duly provided for, whichever occurs later, </w:t>
      </w:r>
    </w:p>
    <w:p>
      <w:pPr>
        <w:pStyle w:val="TextBody"/>
        <w:bidi w:val="0"/>
        <w:spacing w:before="240" w:after="0"/>
        <w:jc w:val="left"/>
        <w:rPr>
          <w:rFonts w:ascii="Times New Roman" w:hAnsi="Times New Roman"/>
          <w:sz w:val="20"/>
        </w:rPr>
      </w:pPr>
      <w:r>
        <w:rPr>
          <w:rFonts w:ascii="Times New Roman" w:hAnsi="Times New Roman"/>
          <w:sz w:val="20"/>
        </w:rPr>
        <w:t>nor will additional amounts be paid with respect to any payment of [</w:t>
      </w:r>
      <w:r>
        <w:rPr>
          <w:rFonts w:ascii="Times New Roman" w:hAnsi="Times New Roman"/>
          <w:i/>
          <w:sz w:val="20"/>
        </w:rPr>
        <w:t>if the Security is interest-bearing insert</w:t>
      </w:r>
      <w:r>
        <w:rPr>
          <w:rFonts w:ascii="Times New Roman" w:hAnsi="Times New Roman"/>
          <w:sz w:val="20"/>
        </w:rPr>
        <w:t xml:space="preserve"> – principal of [(and premium, if any)] or interest on this Security] [</w:t>
      </w:r>
      <w:r>
        <w:rPr>
          <w:rFonts w:ascii="Times New Roman" w:hAnsi="Times New Roman"/>
          <w:i/>
          <w:sz w:val="20"/>
        </w:rPr>
        <w:t>if the Security is not to bear interest prior to Maturity, insert</w:t>
      </w:r>
      <w:r>
        <w:rPr>
          <w:rFonts w:ascii="Times New Roman" w:hAnsi="Times New Roman"/>
          <w:sz w:val="20"/>
        </w:rPr>
        <w:t xml:space="preserve"> – principal of (or interest on overdue principal, if any, on) this Security or of the proceeds of any sale or exchange of this Security to any United States Alien who is a fiduciary or partnership or other than the sole beneficial owner of any such payment to the extent that a beneficiary or settlor with respect to such fiduciary, a member of such a partnership or the beneficial owner would not have been entitled to the additional amounts had such beneficiary, settlor, member or beneficial owner been the Holder of this Security [</w:t>
      </w:r>
      <w:r>
        <w:rPr>
          <w:rFonts w:ascii="Times New Roman" w:hAnsi="Times New Roman"/>
          <w:i/>
          <w:sz w:val="20"/>
        </w:rPr>
        <w:t>If the Security is interest-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bearing insert</w:t>
      </w:r>
      <w:r>
        <w:rPr>
          <w:rFonts w:ascii="Times New Roman" w:hAnsi="Times New Roman"/>
          <w:sz w:val="20"/>
        </w:rPr>
        <w:t xml:space="preserve"> – or any coupon appertaining hereto]. The term “</w:t>
      </w:r>
      <w:r>
        <w:rPr>
          <w:rFonts w:ascii="Times New Roman" w:hAnsi="Times New Roman"/>
          <w:b/>
          <w:sz w:val="20"/>
        </w:rPr>
        <w:t>United States Alien</w:t>
      </w:r>
      <w:r>
        <w:rPr>
          <w:rFonts w:ascii="Times New Roman" w:hAnsi="Times New Roman"/>
          <w:sz w:val="20"/>
        </w:rPr>
        <w:t>”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 and the term “</w:t>
      </w:r>
      <w:r>
        <w:rPr>
          <w:rFonts w:ascii="Times New Roman" w:hAnsi="Times New Roman"/>
          <w:b/>
          <w:sz w:val="20"/>
        </w:rPr>
        <w:t>United States</w:t>
      </w:r>
      <w:r>
        <w:rPr>
          <w:rFonts w:ascii="Times New Roman" w:hAnsi="Times New Roman"/>
          <w:sz w:val="20"/>
        </w:rPr>
        <w:t xml:space="preserve">” means the United States of America (including the States and the District of Columbia), its territories, its possessions and other areas subject to its jurisdiction.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and so long as a certification identification or other reporting requirement referred to in the [fourth] [fifth] paragraph on the reverse hereof would be fully satisfied by payment of a backup withholding tax or similar charge, the Company may elect, by so stating in the Determination Notice (as defined in such paragraph), to have the provisions of this paragraph apply in lieu of the provisions of such paragraph. In such event, the Company will pay as additional amounts such amounts as may be necessary so that every net payment made following the effective date of such requirements outside the United States by the Company or any of its Paying Agents of principal [(and premiums, if any)] [</w:t>
      </w:r>
      <w:r>
        <w:rPr>
          <w:rFonts w:ascii="Times New Roman" w:hAnsi="Times New Roman"/>
          <w:i/>
          <w:sz w:val="20"/>
        </w:rPr>
        <w:t>if the Security is interest-bearing, insert</w:t>
      </w:r>
      <w:r>
        <w:rPr>
          <w:rFonts w:ascii="Times New Roman" w:hAnsi="Times New Roman"/>
          <w:sz w:val="20"/>
        </w:rPr>
        <w:t xml:space="preserve"> – or interest] due in respect of any Bearer Security [</w:t>
      </w:r>
      <w:r>
        <w:rPr>
          <w:rFonts w:ascii="Times New Roman" w:hAnsi="Times New Roman"/>
          <w:i/>
          <w:sz w:val="20"/>
        </w:rPr>
        <w:t>if the Security is interest bearing, insert</w:t>
      </w:r>
      <w:r>
        <w:rPr>
          <w:rFonts w:ascii="Times New Roman" w:hAnsi="Times New Roman"/>
          <w:sz w:val="20"/>
        </w:rPr>
        <w:t xml:space="preserve"> – or any coupon] of which the beneficial owner is a United States Alien (but without any requirement that the nationality, residence or identity of such beneficial owner be disclosed to the Company, any Paying Agent or any governmental authority), after deduction or withholding for or on account of such backup withholding tax or similar charge other than a backup withholding tax or similar charge which is (i) the result of a certification, identification or other reporting requirement described in the second parenthetical clause of such paragraph, or (ii) imposed as a result of the fact that the Company or any of its Paying Agents has actual knowledge that the beneficial owner of such Bearer Security [</w:t>
      </w:r>
      <w:r>
        <w:rPr>
          <w:rFonts w:ascii="Times New Roman" w:hAnsi="Times New Roman"/>
          <w:i/>
          <w:sz w:val="20"/>
        </w:rPr>
        <w:t>if the Security is interest-bearing, insert</w:t>
      </w:r>
      <w:r>
        <w:rPr>
          <w:rFonts w:ascii="Times New Roman" w:hAnsi="Times New Roman"/>
          <w:sz w:val="20"/>
        </w:rPr>
        <w:t xml:space="preserve"> – or coupon] is within the category of Persons described in clause (a) of the [third] paragraph of this Security, or (iii) imposed as a result of presentation of such Bearer Security [</w:t>
      </w:r>
      <w:r>
        <w:rPr>
          <w:rFonts w:ascii="Times New Roman" w:hAnsi="Times New Roman"/>
          <w:i/>
          <w:sz w:val="20"/>
        </w:rPr>
        <w:t>if the Security is interest-bearing insert</w:t>
      </w:r>
      <w:r>
        <w:rPr>
          <w:rFonts w:ascii="Times New Roman" w:hAnsi="Times New Roman"/>
          <w:sz w:val="20"/>
        </w:rPr>
        <w:t xml:space="preserve"> – or coupon) for payment more than 15 days after the date on which such payment becomes due and payable or on which payment thereof is duly provided for, whichever occurs later, will not be less than the amount provided for in such Bearer Security [</w:t>
      </w:r>
      <w:r>
        <w:rPr>
          <w:rFonts w:ascii="Times New Roman" w:hAnsi="Times New Roman"/>
          <w:i/>
          <w:sz w:val="20"/>
        </w:rPr>
        <w:t>if the Security is interest-bearing, insert</w:t>
      </w:r>
      <w:r>
        <w:rPr>
          <w:rFonts w:ascii="Times New Roman" w:hAnsi="Times New Roman"/>
          <w:sz w:val="20"/>
        </w:rPr>
        <w:t xml:space="preserve"> – or coupon) to be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directly or through an authenticating agent, by manual signature of an authorized signatory, neither this Security, nor any coupon appertaining hereto, shall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under its corporate seal and coupons bearing the facsimile signature of [its Treasurer] [one of its Assistant Treasurers] to be annexed hereto. </w:t>
      </w:r>
    </w:p>
    <w:p>
      <w:pPr>
        <w:pStyle w:val="TextBody"/>
        <w:bidi w:val="0"/>
        <w:spacing w:before="240" w:after="0"/>
        <w:jc w:val="left"/>
        <w:rPr>
          <w:rFonts w:ascii="Times New Roman" w:hAnsi="Times New Roman"/>
          <w:sz w:val="20"/>
        </w:rPr>
      </w:pPr>
      <w:r>
        <w:rPr>
          <w:rFonts w:ascii="Times New Roman" w:hAnsi="Times New Roman"/>
          <w:sz w:val="20"/>
        </w:rPr>
        <w:t xml:space="preserve">Dated as of    20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45"/>
        <w:gridCol w:w="174"/>
        <w:gridCol w:w="2963"/>
      </w:tblGrid>
      <w:tr>
        <w:trPr/>
        <w:tc>
          <w:tcPr>
            <w:tcW w:w="9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CAMPBELL’S COMPANY</w:t>
            </w:r>
          </w:p>
        </w:tc>
      </w:tr>
      <w:tr>
        <w:trPr>
          <w:trHeight w:val="240" w:hRule="atLeast"/>
        </w:trPr>
        <w:tc>
          <w:tcPr>
            <w:tcW w:w="945" w:type="dxa"/>
            <w:tcBorders/>
            <w:vAlign w:val="center"/>
          </w:tcPr>
          <w:p>
            <w:pPr>
              <w:pStyle w:val="TableContents"/>
              <w:bidi w:val="0"/>
              <w:spacing w:before="0" w:after="283"/>
              <w:jc w:val="left"/>
              <w:rPr>
                <w:sz w:val="4"/>
                <w:szCs w:val="4"/>
              </w:rPr>
            </w:pPr>
            <w:r>
              <w:rPr>
                <w:sz w:val="4"/>
                <w:szCs w:val="4"/>
              </w:rPr>
            </w:r>
          </w:p>
        </w:tc>
        <w:tc>
          <w:tcPr>
            <w:tcW w:w="3137" w:type="dxa"/>
            <w:gridSpan w:val="2"/>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By:</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9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Security]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b/>
          <w:sz w:val="20"/>
        </w:rPr>
        <w:t>Securities</w:t>
      </w:r>
      <w:r>
        <w:rPr>
          <w:rFonts w:ascii="Times New Roman" w:hAnsi="Times New Roman"/>
          <w:sz w:val="20"/>
        </w:rPr>
        <w:t>”), issued and to be issued in one or more series under an Indenture, dated as of    , 20  (herein called the “</w:t>
      </w:r>
      <w:r>
        <w:rPr>
          <w:rFonts w:ascii="Times New Roman" w:hAnsi="Times New Roman"/>
          <w:b/>
          <w:sz w:val="20"/>
        </w:rPr>
        <w:t>Indenture</w:t>
      </w:r>
      <w:r>
        <w:rPr>
          <w:rFonts w:ascii="Times New Roman" w:hAnsi="Times New Roman"/>
          <w:sz w:val="20"/>
        </w:rPr>
        <w:t>”), between the Company and U.S. Bank Trust Company, National Association, as Trustee (herein called the “</w:t>
      </w:r>
      <w:r>
        <w:rPr>
          <w:rFonts w:ascii="Times New Roman" w:hAnsi="Times New Roman"/>
          <w:b/>
          <w:sz w:val="20"/>
        </w:rPr>
        <w:t>Trustee</w:t>
      </w:r>
      <w:r>
        <w:rPr>
          <w:rFonts w:ascii="Times New Roman" w:hAnsi="Times New Roman"/>
          <w:sz w:val="20"/>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any coupons appertaining thereto and of the terms upon which the Securities are, and are to be, authenticated and delivered. This Security is one of the series designated on the face hereof [, limited in aggregate principal amount to [U.S.$]    . The Securities of this series are issuable as Bearer Securities, with interest coupons attached, in the denomination of [U.S.$]   [, and as Registered Securities, without coupons, in denominations of [U.S.$]   and any integral multiple thereof]. [As provided in the Indenture and subject to certain limitations therein set forth, Bearer Securities and Registered Securities of this series are exchangeable for a like aggregate principal amount of Registered Securities of this series and of like tenor of any authorized denominations, as requested by the Holder surrendering the same, upon surrender of the Security or Securities to be exchanged, with all unmatured coupons and all matured coupons in default thereto appertaining, at any office or agency described below where Registered Securities of this series may be presented for registration of transfer,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Bearer Securities surrendered in exchange for Registered Securities between a Record Date and the relevant Interest Payment Date shall be surrendered without the coupon relating to such Interest Payment Date. Bearer Securities may not be issued in exchange for Registered Securities.] </w:t>
      </w:r>
    </w:p>
    <w:p>
      <w:pPr>
        <w:pStyle w:val="TextBody"/>
        <w:bidi w:val="0"/>
        <w:spacing w:before="240" w:after="0"/>
        <w:jc w:val="left"/>
        <w:rPr>
          <w:rFonts w:ascii="Times New Roman" w:hAnsi="Times New Roman"/>
          <w:sz w:val="20"/>
        </w:rPr>
      </w:pPr>
      <w:r>
        <w:rPr>
          <w:rFonts w:ascii="Times New Roman" w:hAnsi="Times New Roman"/>
          <w:sz w:val="20"/>
        </w:rPr>
        <w:t>[If applicable, insert – The Securities of this series are subject to redemption [(1)) [if applicable, insert – on (1)    in any year commencing with the year   and ending with the year    through operation of the sinking fund for this series at a Redemption Price equal to [100% of the principal amount] [</w:t>
      </w:r>
      <w:r>
        <w:rPr>
          <w:rFonts w:ascii="Times New Roman" w:hAnsi="Times New Roman"/>
          <w:i/>
          <w:sz w:val="20"/>
        </w:rPr>
        <w:t>or insert formula for determining the amount</w:t>
      </w:r>
      <w:r>
        <w:rPr>
          <w:rFonts w:ascii="Times New Roman" w:hAnsi="Times New Roman"/>
          <w:sz w:val="20"/>
        </w:rPr>
        <w:t>], and (2)] [</w:t>
      </w:r>
      <w:r>
        <w:rPr>
          <w:rFonts w:ascii="Times New Roman" w:hAnsi="Times New Roman"/>
          <w:i/>
          <w:sz w:val="20"/>
        </w:rPr>
        <w:t>If applicable insert</w:t>
      </w:r>
      <w:r>
        <w:rPr>
          <w:rFonts w:ascii="Times New Roman" w:hAnsi="Times New Roman"/>
          <w:sz w:val="20"/>
        </w:rPr>
        <w:t xml:space="preserve"> – at any time [on or after    , 20   ), as a whole or in part, at the election of the Company, at the following Redemption Prices (expressed as percentages of the principal amount): If redeemed [or before    ,   %, and if redeemed] during the 12-month period beginning    of the years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5"/>
        <w:gridCol w:w="60"/>
        <w:gridCol w:w="2504"/>
        <w:gridCol w:w="108"/>
        <w:gridCol w:w="2501"/>
        <w:gridCol w:w="120"/>
        <w:gridCol w:w="2217"/>
      </w:tblGrid>
      <w:tr>
        <w:trPr/>
        <w:tc>
          <w:tcPr>
            <w:tcW w:w="2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2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w:t>
            </w:r>
          </w:p>
        </w:tc>
        <w:tc>
          <w:tcPr>
            <w:tcW w:w="60" w:type="dxa"/>
            <w:tcBorders/>
            <w:vAlign w:val="bottom"/>
          </w:tcPr>
          <w:p>
            <w:pPr>
              <w:pStyle w:val="TableContents"/>
              <w:bidi w:val="0"/>
              <w:spacing w:before="0" w:after="283"/>
              <w:jc w:val="left"/>
              <w:rPr/>
            </w:pPr>
            <w:r>
              <w:rPr/>
              <w:t> </w:t>
            </w:r>
          </w:p>
        </w:tc>
        <w:tc>
          <w:tcPr>
            <w:tcW w:w="25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Redemption Price</w:t>
            </w:r>
          </w:p>
        </w:tc>
        <w:tc>
          <w:tcPr>
            <w:tcW w:w="108" w:type="dxa"/>
            <w:tcBorders/>
            <w:vAlign w:val="bottom"/>
          </w:tcPr>
          <w:p>
            <w:pPr>
              <w:pStyle w:val="TableContents"/>
              <w:bidi w:val="0"/>
              <w:spacing w:before="0" w:after="283"/>
              <w:jc w:val="left"/>
              <w:rPr/>
            </w:pPr>
            <w:r>
              <w:rPr/>
              <w:t> </w:t>
            </w:r>
          </w:p>
        </w:tc>
        <w:tc>
          <w:tcPr>
            <w:tcW w:w="25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w:t>
            </w:r>
          </w:p>
        </w:tc>
        <w:tc>
          <w:tcPr>
            <w:tcW w:w="120" w:type="dxa"/>
            <w:tcBorders/>
            <w:vAlign w:val="bottom"/>
          </w:tcPr>
          <w:p>
            <w:pPr>
              <w:pStyle w:val="TableContents"/>
              <w:bidi w:val="0"/>
              <w:spacing w:before="0" w:after="283"/>
              <w:jc w:val="left"/>
              <w:rPr/>
            </w:pPr>
            <w:r>
              <w:rPr/>
              <w:t>  </w:t>
            </w:r>
          </w:p>
        </w:tc>
        <w:tc>
          <w:tcPr>
            <w:tcW w:w="22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Redemption Price</w:t>
            </w:r>
          </w:p>
        </w:tc>
      </w:tr>
      <w:tr>
        <w:trPr/>
        <w:tc>
          <w:tcPr>
            <w:tcW w:w="26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thereafter at a Redemption Price equal to   % of the principal amount,] [and (   )] (under the circumstances described in the next [two] succeeding paragraph[s] at a Redemption Price equal to [100% of the principal amount] [</w:t>
      </w:r>
      <w:r>
        <w:rPr>
          <w:rFonts w:ascii="Times New Roman" w:hAnsi="Times New Roman"/>
          <w:i/>
          <w:sz w:val="20"/>
        </w:rPr>
        <w:t>or insert formula for determining the amount</w:t>
      </w:r>
      <w:r>
        <w:rPr>
          <w:rFonts w:ascii="Times New Roman" w:hAnsi="Times New Roman"/>
          <w:sz w:val="20"/>
        </w:rPr>
        <w:t>] [</w:t>
      </w:r>
      <w:r>
        <w:rPr>
          <w:rFonts w:ascii="Times New Roman" w:hAnsi="Times New Roman"/>
          <w:i/>
          <w:sz w:val="20"/>
        </w:rPr>
        <w:t>if the Security is interest-bearing, insert</w:t>
      </w:r>
      <w:r>
        <w:rPr>
          <w:rFonts w:ascii="Times New Roman" w:hAnsi="Times New Roman"/>
          <w:sz w:val="20"/>
        </w:rPr>
        <w:t xml:space="preserve"> – , together in the case of any such redemption [</w:t>
      </w:r>
      <w:r>
        <w:rPr>
          <w:rFonts w:ascii="Times New Roman" w:hAnsi="Times New Roman"/>
          <w:i/>
          <w:sz w:val="20"/>
        </w:rPr>
        <w:t>if applicable insert</w:t>
      </w:r>
      <w:r>
        <w:rPr>
          <w:rFonts w:ascii="Times New Roman" w:hAnsi="Times New Roman"/>
          <w:sz w:val="20"/>
        </w:rPr>
        <w:t xml:space="preserve"> – (whether through operation of the sinking fund or otherwise)] with accrued interest to the Redemption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interest installments on this Security whose Stated Maturity is on or prior to such Redemption Date will be payable only upon presentation and surrender of coupons for such interest (at an office or agency located outside the United States, except as herein provided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applicable, insert</w:t>
      </w:r>
      <w:r>
        <w:rPr>
          <w:rFonts w:ascii="Times New Roman" w:hAnsi="Times New Roman"/>
          <w:sz w:val="20"/>
        </w:rPr>
        <w:t xml:space="preserve"> – The Securities of this series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20  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Redemption Price for</w:t>
            </w:r>
          </w:p>
          <w:p>
            <w:pPr>
              <w:pStyle w:val="TableContents"/>
              <w:bidi w:val="0"/>
              <w:spacing w:before="0" w:after="0"/>
              <w:jc w:val="center"/>
              <w:rPr>
                <w:rFonts w:ascii="Times New Roman" w:hAnsi="Times New Roman"/>
                <w:b/>
                <w:sz w:val="16"/>
              </w:rPr>
            </w:pPr>
            <w:r>
              <w:rPr>
                <w:rFonts w:ascii="Times New Roman" w:hAnsi="Times New Roman"/>
                <w:b/>
                <w:sz w:val="16"/>
              </w:rPr>
              <w:t>Redemption Through</w:t>
            </w:r>
          </w:p>
          <w:p>
            <w:pPr>
              <w:pStyle w:val="TableContents"/>
              <w:bidi w:val="0"/>
              <w:spacing w:before="0" w:after="20"/>
              <w:jc w:val="center"/>
              <w:rPr>
                <w:rFonts w:ascii="Times New Roman" w:hAnsi="Times New Roman"/>
                <w:b/>
                <w:sz w:val="16"/>
              </w:rPr>
            </w:pPr>
            <w:r>
              <w:rPr>
                <w:rFonts w:ascii="Times New Roman" w:hAnsi="Times New Roman"/>
                <w:b/>
                <w:sz w:val="16"/>
              </w:rPr>
              <w:t>Operation of the Sinking Fund</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Redemption Price for</w:t>
            </w:r>
          </w:p>
          <w:p>
            <w:pPr>
              <w:pStyle w:val="TableContents"/>
              <w:bidi w:val="0"/>
              <w:spacing w:before="0" w:after="0"/>
              <w:jc w:val="center"/>
              <w:rPr>
                <w:rFonts w:ascii="Times New Roman" w:hAnsi="Times New Roman"/>
                <w:b/>
                <w:sz w:val="16"/>
              </w:rPr>
            </w:pPr>
            <w:r>
              <w:rPr>
                <w:rFonts w:ascii="Times New Roman" w:hAnsi="Times New Roman"/>
                <w:b/>
                <w:sz w:val="16"/>
              </w:rPr>
              <w:t>Redemption Otherwise Than</w:t>
            </w:r>
          </w:p>
          <w:p>
            <w:pPr>
              <w:pStyle w:val="TableContents"/>
              <w:bidi w:val="0"/>
              <w:spacing w:before="0" w:after="0"/>
              <w:jc w:val="center"/>
              <w:rPr>
                <w:rFonts w:ascii="Times New Roman" w:hAnsi="Times New Roman"/>
                <w:b/>
                <w:sz w:val="16"/>
              </w:rPr>
            </w:pPr>
            <w:r>
              <w:rPr>
                <w:rFonts w:ascii="Times New Roman" w:hAnsi="Times New Roman"/>
                <w:b/>
                <w:sz w:val="16"/>
              </w:rPr>
              <w:t>Through Operation of the</w:t>
            </w:r>
          </w:p>
          <w:p>
            <w:pPr>
              <w:pStyle w:val="TableContents"/>
              <w:bidi w:val="0"/>
              <w:spacing w:before="0" w:after="20"/>
              <w:jc w:val="center"/>
              <w:rPr>
                <w:rFonts w:ascii="Times New Roman" w:hAnsi="Times New Roman"/>
                <w:b/>
                <w:sz w:val="16"/>
              </w:rPr>
            </w:pPr>
            <w:r>
              <w:rPr>
                <w:rFonts w:ascii="Times New Roman" w:hAnsi="Times New Roman"/>
                <w:b/>
                <w:sz w:val="16"/>
              </w:rPr>
              <w:t>Sinking Fund</w:t>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and thereafter at a Redemption Price equal to  % of the principal amount, and (3) under the circumstances described in the next [two] succeeding paragraph[s] at a Redemption Price equal to 100% of the principal amount [</w:t>
      </w:r>
      <w:r>
        <w:rPr>
          <w:rFonts w:ascii="Times New Roman" w:hAnsi="Times New Roman"/>
          <w:i/>
          <w:sz w:val="20"/>
        </w:rPr>
        <w:t>or insert formula for determining the amount</w:t>
      </w:r>
      <w:r>
        <w:rPr>
          <w:rFonts w:ascii="Times New Roman" w:hAnsi="Times New Roman"/>
          <w:sz w:val="20"/>
        </w:rPr>
        <w:t>] [</w:t>
      </w:r>
      <w:r>
        <w:rPr>
          <w:rFonts w:ascii="Times New Roman" w:hAnsi="Times New Roman"/>
          <w:i/>
          <w:sz w:val="20"/>
        </w:rPr>
        <w:t>if the Security is interest-bearing insert</w:t>
      </w:r>
      <w:r>
        <w:rPr>
          <w:rFonts w:ascii="Times New Roman" w:hAnsi="Times New Roman"/>
          <w:sz w:val="20"/>
        </w:rPr>
        <w:t xml:space="preserve"> – , together in the case of any such redemption (whether through operation of the sinking fund or otherwise) with accrued interest to the Redemption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interest installments on this Security whose Stated Maturity is on or prior to such Redemption Date will be payable only upon presentation and surrender of coupons for such interest (at an office or agency located outside the United States, except as herein provided otherwise)].] </w:t>
      </w:r>
    </w:p>
    <w:p>
      <w:pPr>
        <w:pStyle w:val="TextBody"/>
        <w:bidi w:val="0"/>
        <w:spacing w:before="240" w:after="0"/>
        <w:jc w:val="left"/>
        <w:rPr>
          <w:rFonts w:ascii="Times New Roman" w:hAnsi="Times New Roman"/>
          <w:sz w:val="20"/>
        </w:rPr>
      </w:pPr>
      <w:r>
        <w:rPr>
          <w:rFonts w:ascii="Times New Roman" w:hAnsi="Times New Roman"/>
          <w:sz w:val="20"/>
        </w:rPr>
        <w:t xml:space="preserve">[Partial redemption must be in an amount not less than [U.S. $5,000] principal amount of Securities.] [Notwithstanding the foregoing, the Company may not, prior to    , redeem any Securities of this series as contemplated by Clause [(2)] above as a part of, or in anticipation of, any refunding operation by the application, directly or indirectly, of moneys borrowed having an interest cost to the Company (calculated in accordance with generally accepted financial practice) of less than  %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Securities may be redeemed, as a whole but not in part, at the option of the Company, at a Redemption Price [equal to 100% of their principal amount] [determined as set forth in the preceding paragraph]. [</w:t>
      </w:r>
      <w:r>
        <w:rPr>
          <w:rFonts w:ascii="Times New Roman" w:hAnsi="Times New Roman"/>
          <w:i/>
          <w:sz w:val="20"/>
        </w:rPr>
        <w:t>If the Security is interest-bearing, insert</w:t>
      </w:r>
      <w:r>
        <w:rPr>
          <w:rFonts w:ascii="Times New Roman" w:hAnsi="Times New Roman"/>
          <w:sz w:val="20"/>
        </w:rPr>
        <w:t xml:space="preserve"> – , together with interest accrued to the date fixed for redemption,] if, as a result of any amendment to, or change in, the laws or regulations of the United States or any political subdivision or taxing authority thereof or therein affecting taxation, or any amendment to or change in an official interpretation or application of such laws or regulations, which amendment or change is effective on or after    , 20  , the Company will become obligated to pay additional amounts (as described on the face hereof) [</w:t>
      </w:r>
      <w:r>
        <w:rPr>
          <w:rFonts w:ascii="Times New Roman" w:hAnsi="Times New Roman"/>
          <w:i/>
          <w:sz w:val="20"/>
        </w:rPr>
        <w:t>if the Security is interest-bearing, insert</w:t>
      </w:r>
      <w:r>
        <w:rPr>
          <w:rFonts w:ascii="Times New Roman" w:hAnsi="Times New Roman"/>
          <w:sz w:val="20"/>
        </w:rPr>
        <w:t xml:space="preserve"> – on the next succeeding Interest Payment Date] [</w:t>
      </w:r>
      <w:r>
        <w:rPr>
          <w:rFonts w:ascii="Times New Roman" w:hAnsi="Times New Roman"/>
          <w:i/>
          <w:sz w:val="20"/>
        </w:rPr>
        <w:t>if the Security is not to bear interest prior to Maturity, insert</w:t>
      </w:r>
      <w:r>
        <w:rPr>
          <w:rFonts w:ascii="Times New Roman" w:hAnsi="Times New Roman"/>
          <w:sz w:val="20"/>
        </w:rPr>
        <w:t xml:space="preserve"> – at Maturity or upon the sale or exchange of any Security] at the time such notice is given, such obligation to pay such additional amounts remains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applicable, insert</w:t>
      </w:r>
      <w:r>
        <w:rPr>
          <w:rFonts w:ascii="Times New Roman" w:hAnsi="Times New Roman"/>
          <w:sz w:val="20"/>
        </w:rPr>
        <w:t xml:space="preserve"> – In addition, if the Company determines, based upon a written opinion of independent counsel, that any payment made outside the United States by the Company or any of its Paying Agents of the full amount of principal [(, premium, if any)] or interest due with respect to any Bearer Security or coupon would, under any present or future laws or regulations of the United States, be subject to any certification, identification or other reporting requirement of any kind, the effect of which requirement is the disclosure to the Company, any Paying Agent or any governmental authority of the nationality, residence or identity of a beneficial owner of such Bearer Security or coupon who is a United States Alien (as defined on the face hereof) (other than such a requirement (a) which would not be applicable to a payment made by the Company or any one of its Paying Agents (i) directly to the beneficial owner or (ii) to any custodian, nominee or other agent of the beneficial owner, or (b) which can be satisfied by the custodian, nominee or other agent certifying that the beneficial owner is a United States Alien, provided in each case referred to in clauses (a) (ii) and (b) that payment by such custodian, nominee or other agent of such beneficial owner is not otherwise subject to any such requirement), the Company at its election will either (x) redeem the Securities as a whole but not in part, at a Redemption Price [equal to 100% of their principal amount,] [determined as set forth in the next preceding paragraph,] together with interest accrued to the date fixed for redemption, or (y) if and so long as the conditions of the [third] paragraph on the face of this Security are satisfied, pay the additional amounts specified in such paragraph. The Company will make such determination and election and notify the Trustee thereof as soon as practicable, and the Trustee will promptly give notice of such determination in the manner provided below (the “</w:t>
      </w:r>
      <w:r>
        <w:rPr>
          <w:rFonts w:ascii="Times New Roman" w:hAnsi="Times New Roman"/>
          <w:b/>
          <w:sz w:val="20"/>
        </w:rPr>
        <w:t>Determination Notice</w:t>
      </w:r>
      <w:r>
        <w:rPr>
          <w:rFonts w:ascii="Times New Roman" w:hAnsi="Times New Roman"/>
          <w:sz w:val="20"/>
        </w:rPr>
        <w:t xml:space="preserve">”), in each case stating the effective date of such certification, identification or other reporting requirement, whether the Company will redeem the Securities or will pay the additional amounts specified in such paragraph and (if applicable) the last date by which the redemption of the Securities must take place. If the Company elects to redeem the Securities, such redemption shall take place on such date, not later than one year after publication of the Determination Notice, as the Company elects by notice to the Trustee at least [60] days before such date, unless shorter notice is acceptable to the Trustee. Notwithstanding the foregoing, the Company will not so redeem the Securities if the Company, based upon an opinion of independent counsel, subsequently determines, not less than [30] days prior to the date fixed for redemption, that subsequent payments would not be subject to any such requirement, in which case the Company will notify the Trustee, which will promptly give notice of that determination in the manner provided below, and any earlier redemption notice will thereupon be revoked and of no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If the Company elects as provided in clause (y) above to pay additional amounts, and as long as the Company is obligated to pay such additional amounts, the Company may subsequently redeem the Securities, at any time, as a whole but not in part, at a Redemption Price [equal to 100% of their principal amount] [determined as set forth in the next preceding paragraph,] together with interest accrued to the date fixed for redemption, but without reduction for applicable United States withholding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applicable, insert</w:t>
      </w:r>
      <w:r>
        <w:rPr>
          <w:rFonts w:ascii="Times New Roman" w:hAnsi="Times New Roman"/>
          <w:sz w:val="20"/>
        </w:rPr>
        <w:t xml:space="preserve"> – In addition, if the Company determines, based upon a written opinion of independent counsel, that any payment made outside the United States by the Company or any of its Paying Agents of the full amount due with respect to any Bearer Security would, under any present or future laws or regulations of the United States, be subject to any certification, identification or other reporting requirement of any kind, the effect of which requirement is the disclosure to the Company, any Paying Agent or any governmental authority of the nationality, residence or identity of a beneficial owner of such Bearer Security who is a United States Alien (as defined on the face hereof) (other than such a requirement (a) which would not be applicable to a payment made by the Company or any one of its Paying Agents (i) directly to the beneficial owner or (ii) to any custodian, nominee or other agent of the beneficial owner, or (b) which can be satisfied by the custodian, nominee or other agent certifying to the effect that such beneficial owner is a United States Alien, provided in each case referred to in clauses (a)(ii) and (b) that payment by such custodian, nominee or other agent of such beneficial owner is not otherwise subject to any such requirement), the Company at its election will either (x) permit any Holder of a Bearer Security to present such Bearer Security for redemption within 90 days of notice of such redemption, at a Redemption Price determined as set forth in the next preceding paragraph, or (y) if and so long as the conditions of the [fifth] paragraph on the face of this Security are satisfied, pay the additional amounts specified in such paragraph. The Company will make such determination and election and notify the Trustee thereof as soon as practicable, and the Trustee will promptly give notice of such determination in the manner provided below (the “</w:t>
      </w:r>
      <w:r>
        <w:rPr>
          <w:rFonts w:ascii="Times New Roman" w:hAnsi="Times New Roman"/>
          <w:b/>
          <w:sz w:val="20"/>
        </w:rPr>
        <w:t>Determination Notice</w:t>
      </w:r>
      <w:r>
        <w:rPr>
          <w:rFonts w:ascii="Times New Roman" w:hAnsi="Times New Roman"/>
          <w:sz w:val="20"/>
        </w:rPr>
        <w:t xml:space="preserve">”), in each case stating the effective date of such certification, identification or other reporting requirement, whether the Company has elected to permit redemption of the Bearer Securities or to pay the additional amounts specified in such paragraph and (if applicable) the last day by which the Company may publish any notice of redemption. If the Company elects to permit redemption of the Bearer Securities, notice of the redemption will be given not more than 268 days following the Determination Notice and will specify the date fixed for redemption. The Bearer Securities will be redeemed on the day 97 days after notice of the redemption has been given. Notwithstanding the foregoing, the Company will not permit redemption of the Bearer Securities if the Company, based upon an opinion of independent counsel, subsequently determines, not less than 30 days prior to the date fixed for redemption, that no payment would be subject to any such requirement, in which case the Company will promptly notify the Trustee, which will promptly give notice of that determination in the manner described below, and any earlier redemption notice will thereupon be revoked and of no further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sinking fund for this series provides for the redemption on     in each year, beginning with the year     , and ending with the year     , of [not less than] [U.S.$]..... [(“</w:t>
      </w:r>
      <w:r>
        <w:rPr>
          <w:rFonts w:ascii="Times New Roman" w:hAnsi="Times New Roman"/>
          <w:b/>
          <w:sz w:val="20"/>
        </w:rPr>
        <w:t>mandatory sinking fund</w:t>
      </w:r>
      <w:r>
        <w:rPr>
          <w:rFonts w:ascii="Times New Roman" w:hAnsi="Times New Roman"/>
          <w:sz w:val="20"/>
        </w:rPr>
        <w:t xml:space="preserve">”) and not more than [U.S.$].] aggregate principal amount of Securities of this series. [Securities of this series acquired or redeemed by the Company otherwise than through [mandatory] sinking fund payments may be credited against subsequent [mandatory] sinking fund payments otherwise required to be made – in the inverse order in which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will be given by publication in an Authorized Newspaper in the City of New York and, if the Securities of this series are then listed on [The Stock Exchange of the United Kingdom and the Republic of Ireland] [the Luxembourg Stock Exchange] [or] any [other] stock exchange located outside the United States and such stock exchange shall so require, in [London] [Luxembourg] [or] in any [other] required city outside the United States or, if not practicable, elsewhere in Europe, [and by mail to Holders of Registered Securities] not less than 30 nor more than 60 days prior to the date fixed for redemption, all as provided in the Indenture.] </w:t>
      </w:r>
    </w:p>
    <w:p>
      <w:pPr>
        <w:pStyle w:val="TextBody"/>
        <w:bidi w:val="0"/>
        <w:spacing w:before="240" w:after="0"/>
        <w:jc w:val="left"/>
        <w:rPr>
          <w:rFonts w:ascii="Times New Roman" w:hAnsi="Times New Roman"/>
          <w:sz w:val="20"/>
        </w:rPr>
      </w:pPr>
      <w:r>
        <w:rPr>
          <w:rFonts w:ascii="Times New Roman" w:hAnsi="Times New Roman"/>
          <w:sz w:val="20"/>
        </w:rPr>
        <w:t>If an Event of Default with respect to Securities of this series shall occur and be continuing, [the] [</w:t>
      </w:r>
      <w:r>
        <w:rPr>
          <w:rFonts w:ascii="Times New Roman" w:hAnsi="Times New Roman"/>
          <w:i/>
          <w:sz w:val="20"/>
        </w:rPr>
        <w:t>if an Original Issue Discount Security, insert</w:t>
      </w:r>
      <w:r>
        <w:rPr>
          <w:rFonts w:ascii="Times New Roman" w:hAnsi="Times New Roman"/>
          <w:sz w:val="20"/>
        </w:rPr>
        <w:t xml:space="preserve"> – an amount of] principal of the Securities of the series may be declared due and payable in the manner and with the effect provided in the Indenture [the] [</w:t>
      </w:r>
      <w:r>
        <w:rPr>
          <w:rFonts w:ascii="Times New Roman" w:hAnsi="Times New Roman"/>
          <w:i/>
          <w:sz w:val="20"/>
        </w:rPr>
        <w:t>if an Original Issue Discount Security, insert</w:t>
      </w:r>
      <w:r>
        <w:rPr>
          <w:rFonts w:ascii="Times New Roman" w:hAnsi="Times New Roman"/>
          <w:sz w:val="20"/>
        </w:rPr>
        <w:t xml:space="preserve"> – such amount shall be equal to – </w:t>
      </w:r>
      <w:r>
        <w:rPr>
          <w:rFonts w:ascii="Times New Roman" w:hAnsi="Times New Roman"/>
          <w:i/>
          <w:sz w:val="20"/>
        </w:rPr>
        <w:t>insert formula for determining the amount</w:t>
      </w:r>
      <w:r>
        <w:rPr>
          <w:rFonts w:ascii="Times New Roman" w:hAnsi="Times New Roman"/>
          <w:sz w:val="20"/>
        </w:rPr>
        <w:t xml:space="preserve">. Upon payment (i) of the amount of principal so declared due and payable and (ii) of interest on any overdue principal and overdue interest (in each case to the extent that the payment of such interest shall be legally enforceable), all of the Company’s obligations in respect of the payment of the principal of and interest, if any, on the Securities of this series shall terminate.] </w:t>
      </w:r>
    </w:p>
    <w:p>
      <w:pPr>
        <w:pStyle w:val="TextBody"/>
        <w:bidi w:val="0"/>
        <w:spacing w:before="240" w:after="0"/>
        <w:jc w:val="left"/>
        <w:rPr>
          <w:rFonts w:ascii="Times New Roman" w:hAnsi="Times New Roman"/>
          <w:sz w:val="20"/>
        </w:rPr>
      </w:pPr>
      <w:r>
        <w:rPr>
          <w:rFonts w:ascii="Times New Roman" w:hAnsi="Times New Roman"/>
          <w:sz w:val="20"/>
        </w:rPr>
        <w:t>The Indenture permits, with certain exceptions as therein provided, the amendment thereof and the modification of the rights and obligations of the Company and the rights of the Holders of the Securities of each series to be affected [</w:t>
      </w:r>
      <w:r>
        <w:rPr>
          <w:rFonts w:ascii="Times New Roman" w:hAnsi="Times New Roman"/>
          <w:i/>
          <w:sz w:val="20"/>
        </w:rPr>
        <w:t>if the Securities of the series are interest-bearing insert</w:t>
      </w:r>
      <w:r>
        <w:rPr>
          <w:rFonts w:ascii="Times New Roman" w:hAnsi="Times New Roman"/>
          <w:sz w:val="20"/>
        </w:rPr>
        <w:t xml:space="preserve"> – and any related coupons]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(with each series voting as a separate class in certain other cases specified in the Indenture or with all series voting as one class, in certain other cases specified in the Indenture), on behalf of the Holders of all Securities of such series [</w:t>
      </w:r>
      <w:r>
        <w:rPr>
          <w:rFonts w:ascii="Times New Roman" w:hAnsi="Times New Roman"/>
          <w:i/>
          <w:sz w:val="20"/>
        </w:rPr>
        <w:t>if the Securities of the series are interest-bearing, insert</w:t>
      </w:r>
      <w:r>
        <w:rPr>
          <w:rFonts w:ascii="Times New Roman" w:hAnsi="Times New Roman"/>
          <w:sz w:val="20"/>
        </w:rPr>
        <w:t xml:space="preserve"> – and any related coupons],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any coupon appertaining hereto and of any Security issued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Payment of principal, interest, penalties, fees, indemnifications, reimbursements, damages and other liabilities payable under the documentation governing any indebtedness due with respect to this Security is subordinated to the prior payment of Senior Debt on the terms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set forth in, and subject to, the provisions of the Indenture, no Holder of any Security of this series [</w:t>
      </w:r>
      <w:r>
        <w:rPr>
          <w:rFonts w:ascii="Times New Roman" w:hAnsi="Times New Roman"/>
          <w:i/>
          <w:sz w:val="20"/>
        </w:rPr>
        <w:t>if the Security is interest-bearing, insert</w:t>
      </w:r>
      <w:r>
        <w:rPr>
          <w:rFonts w:ascii="Times New Roman" w:hAnsi="Times New Roman"/>
          <w:sz w:val="20"/>
        </w:rPr>
        <w:t xml:space="preserve"> – or any related coupon] will have any right to institute any proceeding with respect to the Indenture or for any remedy thereunder, unless such Holder shall have previously given to the Trustee written notice of a continuing Event of Default with respect to this series, the Holders of not less than 25% in principal amount of the Outstanding Securities of this series shall have made written request, and offered the Trustee indemnity and/or security satisfactory to the Trustee to institute such proceeding as trustee, and the Trustee shall not have received from the Holders of a majority in principal amount of the Outstanding Securities of this series a direction inconsistent with such request and shall have failed to institute such proceeding within 60 days;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such limitations do not apply to a suit instituted by the Holder hereof [</w:t>
      </w:r>
      <w:r>
        <w:rPr>
          <w:rFonts w:ascii="Times New Roman" w:hAnsi="Times New Roman"/>
          <w:i/>
          <w:sz w:val="20"/>
        </w:rPr>
        <w:t>if the Security is interest-bearing insert</w:t>
      </w:r>
      <w:r>
        <w:rPr>
          <w:rFonts w:ascii="Times New Roman" w:hAnsi="Times New Roman"/>
          <w:sz w:val="20"/>
        </w:rPr>
        <w:t xml:space="preserve"> – or any related coupon] for the enforcement of payment of the principal of [(and premium, if any)] or [any] interest on this Security [</w:t>
      </w:r>
      <w:r>
        <w:rPr>
          <w:rFonts w:ascii="Times New Roman" w:hAnsi="Times New Roman"/>
          <w:i/>
          <w:sz w:val="20"/>
        </w:rPr>
        <w:t>if the Security is interest-bearing, insert</w:t>
      </w:r>
      <w:r>
        <w:rPr>
          <w:rFonts w:ascii="Times New Roman" w:hAnsi="Times New Roman"/>
          <w:sz w:val="20"/>
        </w:rPr>
        <w:t>—or payment of such coupon] on or after the respective due dates expressed herein [</w:t>
      </w:r>
      <w:r>
        <w:rPr>
          <w:rFonts w:ascii="Times New Roman" w:hAnsi="Times New Roman"/>
          <w:i/>
          <w:sz w:val="20"/>
        </w:rPr>
        <w:t>if the Security is interest-bearing, insert</w:t>
      </w:r>
      <w:r>
        <w:rPr>
          <w:rFonts w:ascii="Times New Roman" w:hAnsi="Times New Roman"/>
          <w:sz w:val="20"/>
        </w:rPr>
        <w:t xml:space="preserve"> -or in such coupon].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premium, if any)] and [any] interest (including additional amounts, as described on the face hereof) on this Security at the times, places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Title to [Bearer] Securities and coupons shall pass by delivery. [As provided in the Indenture and subject to certain limitations therein set forth, the transfer of Registered Securities is registrable in the Security Register, upon surrender of a Registered Security for registration of transfer at the [Corporate Trust Office of the Trustee or such other] office or agency of the Company in any place where the principal of (premium, if any) and interest, if any, on such Security are payable, duly endorsed by, or accompanied by a written instrument of transfer in form satisfactory to the Company and the Security Registrar duly executed by, the Holder thereof or his attorney duly authorized in writing, and thereupon one or more new [Registered]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the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The Company, the Trustee and any agent of the Company or the Trustee may treat the bearer of a Bearer Security of any series [</w:t>
      </w:r>
      <w:r>
        <w:rPr>
          <w:rFonts w:ascii="Times New Roman" w:hAnsi="Times New Roman"/>
          <w:i/>
          <w:sz w:val="20"/>
        </w:rPr>
        <w:t>if the Securities of the series are interest-bearing, insert</w:t>
      </w:r>
      <w:r>
        <w:rPr>
          <w:rFonts w:ascii="Times New Roman" w:hAnsi="Times New Roman"/>
          <w:sz w:val="20"/>
        </w:rPr>
        <w:t>—and any coupon appertaining thereto] [, and prior to due presentment of a Registered Security for registration of transfer, the Company, the Trustee and any agent of the Company or the Trustee may treat the Person in whose name such Security is registered,] as the owner thereof for all purposes, whether or not such Security. [</w:t>
      </w:r>
      <w:r>
        <w:rPr>
          <w:rFonts w:ascii="Times New Roman" w:hAnsi="Times New Roman"/>
          <w:i/>
          <w:sz w:val="20"/>
        </w:rPr>
        <w:t>if the Securities of the series are interest-bearing insert</w:t>
      </w:r>
      <w:r>
        <w:rPr>
          <w:rFonts w:ascii="Times New Roman" w:hAnsi="Times New Roman"/>
          <w:sz w:val="20"/>
        </w:rPr>
        <w:t xml:space="preserve"> – or such coupon] is overdue, and neither the Company, the Trustee nor any such agent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the Securities and any coupons appertaining thereto shall be governed by and construed in accordance with the laws of the State of New York without giving effect to the conflicts of laws provisions thereof. All terms used in this Security which are defined in the Indenture shall have the meanings assigned to them in the Indenture. </w:t>
      </w:r>
    </w:p>
    <w:p>
      <w:pPr>
        <w:pStyle w:val="TextBody"/>
        <w:bidi w:val="0"/>
        <w:spacing w:before="480" w:after="0"/>
        <w:jc w:val="center"/>
        <w:rPr>
          <w:rFonts w:ascii="Times New Roman" w:hAnsi="Times New Roman"/>
          <w:sz w:val="20"/>
        </w:rPr>
      </w:pPr>
      <w:r>
        <w:rPr>
          <w:rFonts w:ascii="Times New Roman" w:hAnsi="Times New Roman"/>
          <w:sz w:val="20"/>
        </w:rPr>
        <w:t xml:space="preserve">[Form of Face of Coupon] </w:t>
      </w:r>
    </w:p>
    <w:p>
      <w:pPr>
        <w:pStyle w:val="TextBody"/>
        <w:bidi w:val="0"/>
        <w:spacing w:before="240" w:after="0"/>
        <w:jc w:val="left"/>
        <w:rPr>
          <w:rFonts w:ascii="Times New Roman" w:hAnsi="Times New Roman"/>
          <w:sz w:val="20"/>
        </w:rPr>
      </w:pPr>
      <w:r>
        <w:rPr>
          <w:rFonts w:ascii="Times New Roman" w:hAnsi="Times New Roman"/>
          <w:sz w:val="20"/>
        </w:rPr>
        <w:t xml:space="preserve">ANY UNITED STATES PERSON WHO HOLDS THIS OBLIGATION WILL BE SUBJECT TO LIMITATIONS UNDER THE UNITED STATES INCOME TAX LAWS, INCLUDING THE LIMITATIONS PROVIDED IN SECTIONS 165(j) AND 1287(a) OF THE INTERNAL REVENUE CODE OF 1986, AS AMENDED.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8"/>
        <w:gridCol w:w="120"/>
        <w:gridCol w:w="3333"/>
        <w:gridCol w:w="120"/>
        <w:gridCol w:w="3354"/>
      </w:tblGrid>
      <w:tr>
        <w:trPr/>
        <w:tc>
          <w:tcPr>
            <w:tcW w:w="32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32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right"/>
              <w:rPr/>
            </w:pPr>
            <w:r>
              <w:rPr/>
              <w:t xml:space="preserve">[R-]  </w:t>
            </w:r>
            <w:r>
              <w:rPr>
                <w:u w:val="single"/>
              </w:rPr>
              <w:t>      </w:t>
            </w:r>
          </w:p>
        </w:tc>
      </w:tr>
      <w:tr>
        <w:trPr>
          <w:trHeight w:val="120" w:hRule="atLeast"/>
        </w:trPr>
        <w:tc>
          <w:tcPr>
            <w:tcW w:w="3278"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c>
          <w:tcPr>
            <w:tcW w:w="3474" w:type="dxa"/>
            <w:gridSpan w:val="2"/>
            <w:tcBorders/>
            <w:vAlign w:val="center"/>
          </w:tcPr>
          <w:p>
            <w:pPr>
              <w:pStyle w:val="TableContents"/>
              <w:bidi w:val="0"/>
              <w:spacing w:before="0" w:after="283"/>
              <w:jc w:val="left"/>
              <w:rPr>
                <w:sz w:val="4"/>
                <w:szCs w:val="4"/>
              </w:rPr>
            </w:pPr>
            <w:r>
              <w:rPr>
                <w:sz w:val="4"/>
                <w:szCs w:val="4"/>
              </w:rPr>
            </w:r>
          </w:p>
        </w:tc>
      </w:tr>
      <w:tr>
        <w:trPr/>
        <w:tc>
          <w:tcPr>
            <w:tcW w:w="32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center"/>
              <w:rPr/>
            </w:pPr>
            <w:r>
              <w:rPr/>
              <w:t>THE CAMPBELL’S COMPANY</w:t>
            </w:r>
          </w:p>
        </w:tc>
        <w:tc>
          <w:tcPr>
            <w:tcW w:w="12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right"/>
              <w:rPr/>
            </w:pPr>
            <w:r>
              <w:rPr/>
              <w:t xml:space="preserve">[U.S.$]  </w:t>
            </w:r>
            <w:r>
              <w:rPr>
                <w:u w:val="single"/>
              </w:rPr>
              <w:t>     </w:t>
            </w:r>
          </w:p>
        </w:tc>
      </w:tr>
      <w:tr>
        <w:trPr>
          <w:trHeight w:val="120" w:hRule="atLeast"/>
        </w:trPr>
        <w:tc>
          <w:tcPr>
            <w:tcW w:w="3278" w:type="dxa"/>
            <w:tcBorders/>
            <w:vAlign w:val="center"/>
          </w:tcPr>
          <w:p>
            <w:pPr>
              <w:pStyle w:val="TableContents"/>
              <w:bidi w:val="0"/>
              <w:spacing w:before="0" w:after="283"/>
              <w:jc w:val="left"/>
              <w:rPr>
                <w:sz w:val="4"/>
                <w:szCs w:val="4"/>
              </w:rPr>
            </w:pPr>
            <w:r>
              <w:rPr>
                <w:sz w:val="4"/>
                <w:szCs w:val="4"/>
              </w:rPr>
            </w:r>
          </w:p>
        </w:tc>
        <w:tc>
          <w:tcPr>
            <w:tcW w:w="3453" w:type="dxa"/>
            <w:gridSpan w:val="2"/>
            <w:tcBorders/>
            <w:vAlign w:val="center"/>
          </w:tcPr>
          <w:p>
            <w:pPr>
              <w:pStyle w:val="TableContents"/>
              <w:bidi w:val="0"/>
              <w:spacing w:before="0" w:after="283"/>
              <w:jc w:val="left"/>
              <w:rPr>
                <w:sz w:val="4"/>
                <w:szCs w:val="4"/>
              </w:rPr>
            </w:pPr>
            <w:r>
              <w:rPr>
                <w:sz w:val="4"/>
                <w:szCs w:val="4"/>
              </w:rPr>
            </w:r>
          </w:p>
        </w:tc>
        <w:tc>
          <w:tcPr>
            <w:tcW w:w="3474" w:type="dxa"/>
            <w:gridSpan w:val="2"/>
            <w:tcBorders/>
            <w:vAlign w:val="center"/>
          </w:tcPr>
          <w:p>
            <w:pPr>
              <w:pStyle w:val="TableContents"/>
              <w:bidi w:val="0"/>
              <w:spacing w:before="0" w:after="283"/>
              <w:jc w:val="left"/>
              <w:rPr>
                <w:sz w:val="4"/>
                <w:szCs w:val="4"/>
              </w:rPr>
            </w:pPr>
            <w:r>
              <w:rPr>
                <w:sz w:val="4"/>
                <w:szCs w:val="4"/>
              </w:rPr>
            </w:r>
          </w:p>
        </w:tc>
      </w:tr>
      <w:tr>
        <w:trPr/>
        <w:tc>
          <w:tcPr>
            <w:tcW w:w="32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right"/>
              <w:rPr/>
            </w:pPr>
            <w:r>
              <w:rPr/>
              <w:t xml:space="preserve">Due  </w:t>
            </w:r>
            <w:r>
              <w:rPr>
                <w:u w:val="single"/>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Unless the Security to which this coupon appertaining shall have been called for previous redemption and payment thereof duly provided for on the date set forth hereon. THE CAMPBELL’S COMPANY (herein called the “</w:t>
      </w:r>
      <w:r>
        <w:rPr>
          <w:rFonts w:ascii="Times New Roman" w:hAnsi="Times New Roman"/>
          <w:b/>
          <w:sz w:val="20"/>
        </w:rPr>
        <w:t>Company</w:t>
      </w:r>
      <w:r>
        <w:rPr>
          <w:rFonts w:ascii="Times New Roman" w:hAnsi="Times New Roman"/>
          <w:sz w:val="20"/>
        </w:rPr>
        <w:t>”) will pay to bearer, upon surrender hereof, the amount shown hereon (together with any additional amounts in respect thereof which the Company may be required to pay according to the terms of said Security and the Indenture referred to therein) [at the initial Paying Agents set out on the reverse hereof or at such other offices or agencies (which, except as otherwise provided in the Security to which this coupon appertaining, shall be located outside the United States of America (including the States and the District of Columbia), its territories, its possessions and other areas subject to its jurisdiction (the “</w:t>
      </w:r>
      <w:r>
        <w:rPr>
          <w:rFonts w:ascii="Times New Roman" w:hAnsi="Times New Roman"/>
          <w:b/>
          <w:sz w:val="20"/>
        </w:rPr>
        <w:t>United States</w:t>
      </w:r>
      <w:r>
        <w:rPr>
          <w:rFonts w:ascii="Times New Roman" w:hAnsi="Times New Roman"/>
          <w:sz w:val="20"/>
        </w:rPr>
        <w:t xml:space="preserve">”)) as the Company may designate from time to time,] at the option of the Holder, by [United States dollar check] drawn on a bank in the City of New York or by transfer of [United States dollars] to an account maintained by the payee with a bank located outside the United States, being [one year’s] interest then payable on said Security.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45"/>
        <w:gridCol w:w="174"/>
        <w:gridCol w:w="2963"/>
      </w:tblGrid>
      <w:tr>
        <w:trPr/>
        <w:tc>
          <w:tcPr>
            <w:tcW w:w="9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CAMPBELL’S COMPANY</w:t>
            </w:r>
          </w:p>
        </w:tc>
      </w:tr>
      <w:tr>
        <w:trPr>
          <w:trHeight w:val="240" w:hRule="atLeast"/>
        </w:trPr>
        <w:tc>
          <w:tcPr>
            <w:tcW w:w="945" w:type="dxa"/>
            <w:tcBorders/>
            <w:vAlign w:val="center"/>
          </w:tcPr>
          <w:p>
            <w:pPr>
              <w:pStyle w:val="TableContents"/>
              <w:bidi w:val="0"/>
              <w:spacing w:before="0" w:after="283"/>
              <w:jc w:val="left"/>
              <w:rPr>
                <w:sz w:val="4"/>
                <w:szCs w:val="4"/>
              </w:rPr>
            </w:pPr>
            <w:r>
              <w:rPr>
                <w:sz w:val="4"/>
                <w:szCs w:val="4"/>
              </w:rPr>
            </w:r>
          </w:p>
        </w:tc>
        <w:tc>
          <w:tcPr>
            <w:tcW w:w="3137" w:type="dxa"/>
            <w:gridSpan w:val="2"/>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By:</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9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[Reverse of Coupon]7</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names and addresses of Initial Paying Agents located outside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TO BE GIVEN BY </w:t>
      </w:r>
    </w:p>
    <w:p>
      <w:pPr>
        <w:pStyle w:val="TextBody"/>
        <w:bidi w:val="0"/>
        <w:spacing w:before="0" w:after="0"/>
        <w:jc w:val="center"/>
        <w:rPr>
          <w:rFonts w:ascii="Times New Roman" w:hAnsi="Times New Roman"/>
          <w:b/>
          <w:sz w:val="20"/>
        </w:rPr>
      </w:pPr>
      <w:r>
        <w:rPr>
          <w:rFonts w:ascii="Times New Roman" w:hAnsi="Times New Roman"/>
          <w:b/>
          <w:sz w:val="20"/>
        </w:rPr>
        <w:t xml:space="preserve">PERSON ENTITLED TO RECEIVE BEARER SECURITY]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240" w:after="0"/>
        <w:jc w:val="left"/>
        <w:rPr>
          <w:rFonts w:ascii="Times New Roman" w:hAnsi="Times New Roman"/>
          <w:sz w:val="20"/>
        </w:rPr>
      </w:pPr>
      <w:r>
        <w:rPr>
          <w:rFonts w:ascii="Times New Roman" w:hAnsi="Times New Roman"/>
          <w:sz w:val="20"/>
        </w:rPr>
        <w:t xml:space="preserve">Whenever any provision of this Indenture or the forms of Security contemplates that certification be given by a Person entitled to receive a Bearer Security, such certification shall be provided substantially in the form of the following certificate, with only such changes as shall be approved by the Company: </w:t>
      </w:r>
    </w:p>
    <w:p>
      <w:pPr>
        <w:pStyle w:val="TextBody"/>
        <w:bidi w:val="0"/>
        <w:spacing w:before="480" w:after="0"/>
        <w:jc w:val="center"/>
        <w:rPr>
          <w:rFonts w:ascii="Times New Roman" w:hAnsi="Times New Roman"/>
          <w:i/>
          <w:sz w:val="20"/>
        </w:rPr>
      </w:pPr>
      <w:r>
        <w:rPr>
          <w:rFonts w:ascii="Times New Roman" w:hAnsi="Times New Roman"/>
          <w:i/>
          <w:sz w:val="20"/>
        </w:rPr>
        <w:t xml:space="preserve">[Insert title or sufficient description of Securities to be delivered] </w:t>
      </w:r>
    </w:p>
    <w:p>
      <w:pPr>
        <w:pStyle w:val="TextBody"/>
        <w:bidi w:val="0"/>
        <w:spacing w:before="240" w:after="0"/>
        <w:jc w:val="left"/>
        <w:rPr>
          <w:rFonts w:ascii="Times New Roman" w:hAnsi="Times New Roman"/>
          <w:sz w:val="20"/>
        </w:rPr>
      </w:pPr>
      <w:r>
        <w:rPr>
          <w:rFonts w:ascii="Times New Roman" w:hAnsi="Times New Roman"/>
          <w:sz w:val="20"/>
        </w:rPr>
        <w:t>This is to certify that the above-captioned Security is not being acquired by or on behalf of a United States person, or for offer to resell or for resale to a United States person or any person inside the United States, or, if a beneficial interest in the Security is being acquired by a United States person, that such person is a financial institution within the meaning of Section l.165-12(c)(1)(v) of the United States Treasury Regulations or is acquiring through such a financial institution, and in either case that the Security is held by a financial institution that has agreed in writing to comply with the requirements of Section 165(j)(3)(A), (B) or (C) of the Internal Revenue Code of 1986, as amended, and the regulations thereunder and is not purchasing for offer to resell or for resale inside the United States. If this certificate is being provided by a clearing organization, it is based on statements provided to it by its member organizations. As used herein, “</w:t>
      </w:r>
      <w:r>
        <w:rPr>
          <w:rFonts w:ascii="Times New Roman" w:hAnsi="Times New Roman"/>
          <w:b/>
          <w:sz w:val="20"/>
        </w:rPr>
        <w:t>United States</w:t>
      </w:r>
      <w:r>
        <w:rPr>
          <w:rFonts w:ascii="Times New Roman" w:hAnsi="Times New Roman"/>
          <w:sz w:val="20"/>
        </w:rPr>
        <w:t>” means the United States of America (including the States and the District of Columbia), its territories and possessions and other areas subject to its jurisdiction, and “</w:t>
      </w:r>
      <w:r>
        <w:rPr>
          <w:rFonts w:ascii="Times New Roman" w:hAnsi="Times New Roman"/>
          <w:b/>
          <w:sz w:val="20"/>
        </w:rPr>
        <w:t>United States person</w:t>
      </w:r>
      <w:r>
        <w:rPr>
          <w:rFonts w:ascii="Times New Roman" w:hAnsi="Times New Roman"/>
          <w:sz w:val="20"/>
        </w:rPr>
        <w:t xml:space="preserve">” means any citizen or resident of the United States, any corporation, partnership or other entity created or organized in or under the laws of the United States or any political subdivision thereof and any estate or trust the income of which is subject to United States Federal income taxation regardless of its source. If the undersigned is a dealer, the undersigned agrees to obtain a similar certificate from each person entitled to delivery of any of the above-captioned Securities in bearer form purchased from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undersigned has actual knowledge that the information contained in such a certificate is false (and, absent documentary evidence that the beneficial owner of such Security is not a United States person, the undersigned will be, deemed to have actual knowledge that such beneficial owner, other than a financial institution described above, is a United States person if the undersigned has a United States address for such beneficial owner), the undersigned will not deliver a Security in temporary or definitive bearer form to the person who signed such certificate notwithstanding the delivery of such certificate to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We undertake to advise you by telex if the above statement as to beneficial ownership is not correct on the date of delivery of the above-captioned Securities in bearer form as to all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understand that this certificate is required in connection with certain securities and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28"/>
        <w:gridCol w:w="120"/>
        <w:gridCol w:w="405"/>
        <w:gridCol w:w="120"/>
        <w:gridCol w:w="5132"/>
      </w:tblGrid>
      <w:tr>
        <w:trPr/>
        <w:tc>
          <w:tcPr>
            <w:tcW w:w="44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32" w:type="dxa"/>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bidi w:val="0"/>
              <w:spacing w:before="0" w:after="283"/>
              <w:jc w:val="left"/>
              <w:rPr/>
            </w:pPr>
            <w:r>
              <w:rPr/>
              <w:t>Dated:         ,20</w:t>
            </w:r>
          </w:p>
        </w:tc>
        <w:tc>
          <w:tcPr>
            <w:tcW w:w="120"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513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TO BE GIVEN BY EUROCLEAR AND </w:t>
      </w:r>
    </w:p>
    <w:p>
      <w:pPr>
        <w:pStyle w:val="TextBody"/>
        <w:bidi w:val="0"/>
        <w:spacing w:before="0" w:after="0"/>
        <w:jc w:val="center"/>
        <w:rPr>
          <w:rFonts w:ascii="Times New Roman" w:hAnsi="Times New Roman"/>
          <w:b/>
          <w:sz w:val="20"/>
        </w:rPr>
      </w:pPr>
      <w:r>
        <w:rPr>
          <w:rFonts w:ascii="Times New Roman" w:hAnsi="Times New Roman"/>
          <w:b/>
          <w:sz w:val="20"/>
        </w:rPr>
        <w:t xml:space="preserve">CLEARSTREAM IN CONNECTION WITH THE EXCHANGE OF A PORTION </w:t>
      </w:r>
    </w:p>
    <w:p>
      <w:pPr>
        <w:pStyle w:val="TextBody"/>
        <w:bidi w:val="0"/>
        <w:spacing w:before="0" w:after="0"/>
        <w:jc w:val="center"/>
        <w:rPr>
          <w:rFonts w:ascii="Times New Roman" w:hAnsi="Times New Roman"/>
          <w:b/>
          <w:sz w:val="20"/>
        </w:rPr>
      </w:pPr>
      <w:r>
        <w:rPr>
          <w:rFonts w:ascii="Times New Roman" w:hAnsi="Times New Roman"/>
          <w:b/>
          <w:sz w:val="20"/>
        </w:rPr>
        <w:t xml:space="preserve">OF A TEMPORARY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Whenever any provision of this Indenture or the forms of Security contemplates that certification be given by Euroclear or Clearstream in connection with the exchange of a portion of a temporary global Security, such certification shall be provided substantially in the form of the following certificate, with only such changes as shall be approved by the Company:] </w:t>
      </w:r>
    </w:p>
    <w:p>
      <w:pPr>
        <w:pStyle w:val="TextBody"/>
        <w:bidi w:val="0"/>
        <w:spacing w:before="480" w:after="0"/>
        <w:jc w:val="center"/>
        <w:rPr>
          <w:rFonts w:ascii="Times New Roman" w:hAnsi="Times New Roman"/>
          <w:sz w:val="20"/>
        </w:rPr>
      </w:pPr>
      <w:r>
        <w:rPr>
          <w:rFonts w:ascii="Times New Roman" w:hAnsi="Times New Roman"/>
          <w:sz w:val="20"/>
        </w:rPr>
        <w:t xml:space="preserve">CERTIFICATE </w:t>
      </w:r>
    </w:p>
    <w:p>
      <w:pPr>
        <w:pStyle w:val="TextBody"/>
        <w:bidi w:val="0"/>
        <w:spacing w:before="120" w:after="0"/>
        <w:jc w:val="center"/>
        <w:rPr>
          <w:rFonts w:ascii="Times New Roman" w:hAnsi="Times New Roman"/>
          <w:i/>
          <w:sz w:val="20"/>
        </w:rPr>
      </w:pPr>
      <w:r>
        <w:rPr>
          <w:rFonts w:ascii="Times New Roman" w:hAnsi="Times New Roman"/>
          <w:i/>
          <w:sz w:val="20"/>
        </w:rPr>
        <w:t xml:space="preserve">[Insert title or sufficient description of Securities to be delivered] </w:t>
      </w:r>
    </w:p>
    <w:p>
      <w:pPr>
        <w:pStyle w:val="TextBody"/>
        <w:bidi w:val="0"/>
        <w:spacing w:before="240" w:after="0"/>
        <w:jc w:val="left"/>
        <w:rPr>
          <w:rFonts w:ascii="Times New Roman" w:hAnsi="Times New Roman"/>
          <w:sz w:val="20"/>
        </w:rPr>
      </w:pPr>
      <w:r>
        <w:rPr>
          <w:rFonts w:ascii="Times New Roman" w:hAnsi="Times New Roman"/>
          <w:sz w:val="20"/>
        </w:rPr>
        <w:t>This is to certify with respect to U.S. $[—] principal amount of the above-captioned Securities (i) that we have received from each of the persons appearing in our records as persons entitled to a portion of such principal amount (our “</w:t>
      </w:r>
      <w:r>
        <w:rPr>
          <w:rFonts w:ascii="Times New Roman" w:hAnsi="Times New Roman"/>
          <w:b/>
          <w:sz w:val="20"/>
        </w:rPr>
        <w:t>Qualified Account Holders</w:t>
      </w:r>
      <w:r>
        <w:rPr>
          <w:rFonts w:ascii="Times New Roman" w:hAnsi="Times New Roman"/>
          <w:sz w:val="20"/>
        </w:rPr>
        <w:t xml:space="preserve">”) a certificate with respect to such portion substantially in the form attached hereto, and (ii) that we are not submitting herewith for exchange any portion of the temporary global Security representing the above-captioned Securities excepted in such certificates.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certify that as of the date hereof we have not received any notification from any of our Qualified Account Holders to the effect that the statements made by such Qualified Account Holders with respect to any portion of the Principal amount submitted herewith for exchange are no longer true and cannot be relied upon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certificate may be required in connection with certain securities and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Dated:     , 20 </w:t>
      </w:r>
    </w:p>
    <w:p>
      <w:pPr>
        <w:pStyle w:val="TextBody"/>
        <w:bidi w:val="0"/>
        <w:spacing w:before="0" w:after="0"/>
        <w:jc w:val="left"/>
        <w:rPr>
          <w:rFonts w:ascii="Times New Roman" w:hAnsi="Times New Roman"/>
          <w:sz w:val="20"/>
        </w:rPr>
      </w:pPr>
      <w:r>
        <w:rPr>
          <w:rFonts w:ascii="Times New Roman" w:hAnsi="Times New Roman"/>
          <w:sz w:val="20"/>
        </w:rPr>
        <w:t xml:space="preserve">[To be dated no earlier than </w:t>
      </w:r>
    </w:p>
    <w:p>
      <w:pPr>
        <w:pStyle w:val="TextBody"/>
        <w:bidi w:val="0"/>
        <w:spacing w:before="0" w:after="0"/>
        <w:jc w:val="left"/>
        <w:rPr>
          <w:rFonts w:ascii="Times New Roman" w:hAnsi="Times New Roman"/>
          <w:sz w:val="20"/>
        </w:rPr>
      </w:pPr>
      <w:r>
        <w:rPr>
          <w:rFonts w:ascii="Times New Roman" w:hAnsi="Times New Roman"/>
          <w:sz w:val="20"/>
        </w:rPr>
        <w:t xml:space="preserve">the Exchange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56"/>
        <w:gridCol w:w="176"/>
        <w:gridCol w:w="2950"/>
      </w:tblGrid>
      <w:tr>
        <w:trPr/>
        <w:tc>
          <w:tcPr>
            <w:tcW w:w="956"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[EUROCLEAR BANK S.A./N.V., as Operator of the Euroclear System] [CLEARSTREAM BANKING, SOCIETE ANONYME]</w:t>
            </w:r>
          </w:p>
        </w:tc>
      </w:tr>
      <w:tr>
        <w:trPr>
          <w:trHeight w:val="240" w:hRule="atLeast"/>
        </w:trPr>
        <w:tc>
          <w:tcPr>
            <w:tcW w:w="956" w:type="dxa"/>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center"/>
              <w:rPr/>
            </w:pPr>
            <w:r>
              <w:rPr/>
              <w:t>By:</w:t>
            </w:r>
          </w:p>
        </w:tc>
        <w:tc>
          <w:tcPr>
            <w:tcW w:w="176" w:type="dxa"/>
            <w:tcBorders>
              <w:bottom w:val="single" w:sz="2" w:space="0" w:color="000000"/>
            </w:tcBorders>
            <w:tcMar>
              <w:bottom w:w="28" w:type="dxa"/>
            </w:tcMar>
            <w:vAlign w:val="bottom"/>
          </w:tcPr>
          <w:p>
            <w:pPr>
              <w:pStyle w:val="TableContents"/>
              <w:bidi w:val="0"/>
              <w:spacing w:before="0" w:after="283"/>
              <w:jc w:val="left"/>
              <w:rPr/>
            </w:pPr>
            <w:r>
              <w:rPr/>
              <w:t> </w:t>
            </w:r>
          </w:p>
        </w:tc>
        <w:tc>
          <w:tcPr>
            <w:tcW w:w="2950"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C-3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TO BE GIVEN BY EUROCLEAR AND </w:t>
      </w:r>
    </w:p>
    <w:p>
      <w:pPr>
        <w:pStyle w:val="TextBody"/>
        <w:bidi w:val="0"/>
        <w:spacing w:before="0" w:after="0"/>
        <w:jc w:val="center"/>
        <w:rPr>
          <w:rFonts w:ascii="Times New Roman" w:hAnsi="Times New Roman"/>
          <w:b/>
          <w:sz w:val="20"/>
        </w:rPr>
      </w:pPr>
      <w:r>
        <w:rPr>
          <w:rFonts w:ascii="Times New Roman" w:hAnsi="Times New Roman"/>
          <w:b/>
          <w:sz w:val="20"/>
        </w:rPr>
        <w:t xml:space="preserve">CLEARSTREAM TO OBTAIN INTEREST PRIOR TO AN EXCHANGE DATE </w:t>
      </w:r>
    </w:p>
    <w:p>
      <w:pPr>
        <w:pStyle w:val="TextBody"/>
        <w:bidi w:val="0"/>
        <w:spacing w:before="240" w:after="0"/>
        <w:jc w:val="left"/>
        <w:rPr>
          <w:rFonts w:ascii="Times New Roman" w:hAnsi="Times New Roman"/>
          <w:sz w:val="20"/>
        </w:rPr>
      </w:pPr>
      <w:r>
        <w:rPr>
          <w:rFonts w:ascii="Times New Roman" w:hAnsi="Times New Roman"/>
          <w:sz w:val="20"/>
        </w:rPr>
        <w:t xml:space="preserve">Whenever any provision of this indenture or the forms of Security contemplates that certification be given by Euroclear or Clearstream to obtain interest prior to an Exchange Date, such certification shall be provided substantially in the form of the following certificate, with only such changes as shall be approved by the Company:] </w:t>
      </w:r>
    </w:p>
    <w:p>
      <w:pPr>
        <w:pStyle w:val="TextBody"/>
        <w:bidi w:val="0"/>
        <w:spacing w:before="480" w:after="0"/>
        <w:jc w:val="center"/>
        <w:rPr>
          <w:rFonts w:ascii="Times New Roman" w:hAnsi="Times New Roman"/>
          <w:sz w:val="20"/>
        </w:rPr>
      </w:pPr>
      <w:r>
        <w:rPr>
          <w:rFonts w:ascii="Times New Roman" w:hAnsi="Times New Roman"/>
          <w:sz w:val="20"/>
        </w:rPr>
        <w:t xml:space="preserve">CERTIFICATE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i/>
          <w:sz w:val="20"/>
        </w:rPr>
      </w:pPr>
      <w:r>
        <w:rPr>
          <w:rFonts w:ascii="Times New Roman" w:hAnsi="Times New Roman"/>
          <w:i/>
          <w:sz w:val="20"/>
        </w:rPr>
        <w:t xml:space="preserve">[Insert title or sufficient description of Securities] </w:t>
      </w:r>
    </w:p>
    <w:p>
      <w:pPr>
        <w:pStyle w:val="TextBody"/>
        <w:bidi w:val="0"/>
        <w:spacing w:before="240" w:after="0"/>
        <w:jc w:val="left"/>
        <w:rPr>
          <w:rFonts w:ascii="Times New Roman" w:hAnsi="Times New Roman"/>
          <w:sz w:val="20"/>
        </w:rPr>
      </w:pPr>
      <w:r>
        <w:rPr>
          <w:rFonts w:ascii="Times New Roman" w:hAnsi="Times New Roman"/>
          <w:sz w:val="20"/>
        </w:rPr>
        <w:t>We confirm that the interest payable on the Interest Payment Date on [</w:t>
      </w:r>
      <w:r>
        <w:rPr>
          <w:rFonts w:ascii="Times New Roman" w:hAnsi="Times New Roman"/>
          <w:i/>
          <w:sz w:val="20"/>
        </w:rPr>
        <w:t>Insert Date</w:t>
      </w:r>
      <w:r>
        <w:rPr>
          <w:rFonts w:ascii="Times New Roman" w:hAnsi="Times New Roman"/>
          <w:sz w:val="20"/>
        </w:rPr>
        <w:t xml:space="preserve">] will be paid to each of the persons appearing in our records as being entitled to interest payable on such date from whom we have received a written certification, dated not earlier than such Interest Payment Date, substantially in the form attached hereto. We undertake to retain certificates received from our member organizations in connection herewith for four years from the end of the calendar year in which such certificates are received. </w:t>
      </w:r>
    </w:p>
    <w:p>
      <w:pPr>
        <w:pStyle w:val="TextBody"/>
        <w:bidi w:val="0"/>
        <w:spacing w:before="240" w:after="0"/>
        <w:jc w:val="left"/>
        <w:rPr>
          <w:rFonts w:ascii="Times New Roman" w:hAnsi="Times New Roman"/>
          <w:sz w:val="20"/>
        </w:rPr>
      </w:pPr>
      <w:r>
        <w:rPr>
          <w:rFonts w:ascii="Times New Roman" w:hAnsi="Times New Roman"/>
          <w:sz w:val="20"/>
        </w:rPr>
        <w:t xml:space="preserve">We undertake that any interest received by us and not paid as provided above shall be returned to the Trustee for the above Securities immediately prior to the expiration of two years after such Interest Payment Date in order to be repaid by such Trustee to the above issuer at the end of two years after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Dated: ,     20 </w:t>
      </w:r>
    </w:p>
    <w:p>
      <w:pPr>
        <w:pStyle w:val="TextBody"/>
        <w:bidi w:val="0"/>
        <w:spacing w:before="0" w:after="0"/>
        <w:jc w:val="left"/>
        <w:rPr>
          <w:rFonts w:ascii="Times New Roman" w:hAnsi="Times New Roman"/>
          <w:sz w:val="20"/>
        </w:rPr>
      </w:pPr>
      <w:r>
        <w:rPr>
          <w:rFonts w:ascii="Times New Roman" w:hAnsi="Times New Roman"/>
          <w:sz w:val="20"/>
        </w:rPr>
        <w:t xml:space="preserve">[To be dated on or after </w:t>
      </w:r>
    </w:p>
    <w:p>
      <w:pPr>
        <w:pStyle w:val="TextBody"/>
        <w:bidi w:val="0"/>
        <w:spacing w:before="0" w:after="0"/>
        <w:jc w:val="left"/>
        <w:rPr>
          <w:rFonts w:ascii="Times New Roman" w:hAnsi="Times New Roman"/>
          <w:sz w:val="20"/>
        </w:rPr>
      </w:pPr>
      <w:r>
        <w:rPr>
          <w:rFonts w:ascii="Times New Roman" w:hAnsi="Times New Roman"/>
          <w:sz w:val="20"/>
        </w:rPr>
        <w:t xml:space="preserve">the relevant Interest </w:t>
      </w:r>
    </w:p>
    <w:p>
      <w:pPr>
        <w:pStyle w:val="TextBody"/>
        <w:bidi w:val="0"/>
        <w:spacing w:before="0" w:after="0"/>
        <w:jc w:val="left"/>
        <w:rPr>
          <w:rFonts w:ascii="Times New Roman" w:hAnsi="Times New Roman"/>
          <w:sz w:val="20"/>
        </w:rPr>
      </w:pPr>
      <w:r>
        <w:rPr>
          <w:rFonts w:ascii="Times New Roman" w:hAnsi="Times New Roman"/>
          <w:sz w:val="20"/>
        </w:rPr>
        <w:t xml:space="preserve">Payment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56"/>
        <w:gridCol w:w="176"/>
        <w:gridCol w:w="2950"/>
      </w:tblGrid>
      <w:tr>
        <w:trPr/>
        <w:tc>
          <w:tcPr>
            <w:tcW w:w="956"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[EUROCLEAR BANK S.A./N.V., as</w:t>
            </w:r>
          </w:p>
          <w:p>
            <w:pPr>
              <w:pStyle w:val="TableContents"/>
              <w:bidi w:val="0"/>
              <w:spacing w:before="0" w:after="20"/>
              <w:jc w:val="left"/>
              <w:rPr>
                <w:rFonts w:ascii="Times New Roman" w:hAnsi="Times New Roman"/>
                <w:sz w:val="20"/>
              </w:rPr>
            </w:pPr>
            <w:r>
              <w:rPr>
                <w:rFonts w:ascii="Times New Roman" w:hAnsi="Times New Roman"/>
                <w:sz w:val="20"/>
              </w:rPr>
              <w:t>Operator of the Euroclear System] [CLEARSTREAM BANKING, SOCIETE ANONYME]</w:t>
            </w:r>
          </w:p>
        </w:tc>
      </w:tr>
      <w:tr>
        <w:trPr>
          <w:trHeight w:val="240" w:hRule="atLeast"/>
        </w:trPr>
        <w:tc>
          <w:tcPr>
            <w:tcW w:w="956" w:type="dxa"/>
            <w:tcBorders/>
            <w:vAlign w:val="center"/>
          </w:tcPr>
          <w:p>
            <w:pPr>
              <w:pStyle w:val="TableContents"/>
              <w:bidi w:val="0"/>
              <w:spacing w:before="0" w:after="283"/>
              <w:jc w:val="left"/>
              <w:rPr>
                <w:sz w:val="4"/>
                <w:szCs w:val="4"/>
              </w:rPr>
            </w:pPr>
            <w:r>
              <w:rPr>
                <w:sz w:val="4"/>
                <w:szCs w:val="4"/>
              </w:rPr>
            </w:r>
          </w:p>
        </w:tc>
        <w:tc>
          <w:tcPr>
            <w:tcW w:w="3126" w:type="dxa"/>
            <w:gridSpan w:val="2"/>
            <w:tcBorders/>
            <w:vAlign w:val="cente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center"/>
              <w:rPr/>
            </w:pPr>
            <w:r>
              <w:rPr/>
              <w:t>By:</w:t>
            </w:r>
          </w:p>
        </w:tc>
        <w:tc>
          <w:tcPr>
            <w:tcW w:w="176" w:type="dxa"/>
            <w:tcBorders>
              <w:bottom w:val="single" w:sz="2" w:space="0" w:color="000000"/>
            </w:tcBorders>
            <w:tcMar>
              <w:bottom w:w="28" w:type="dxa"/>
            </w:tcMar>
            <w:vAlign w:val="bottom"/>
          </w:tcPr>
          <w:p>
            <w:pPr>
              <w:pStyle w:val="TableContents"/>
              <w:bidi w:val="0"/>
              <w:spacing w:before="0" w:after="283"/>
              <w:jc w:val="left"/>
              <w:rPr/>
            </w:pPr>
            <w:r>
              <w:rPr/>
              <w:t> </w:t>
            </w:r>
          </w:p>
        </w:tc>
        <w:tc>
          <w:tcPr>
            <w:tcW w:w="2950"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C-3-1 </w:t>
      </w:r>
    </w:p>
    <w:p>
      <w:pPr>
        <w:pStyle w:val="TextBody"/>
        <w:bidi w:val="0"/>
        <w:spacing w:before="0" w:after="0"/>
        <w:jc w:val="right"/>
        <w:rPr>
          <w:rFonts w:ascii="Times New Roman" w:hAnsi="Times New Roman"/>
          <w:b/>
          <w:sz w:val="20"/>
        </w:rPr>
      </w:pPr>
      <w:bookmarkStart w:id="20" w:name="d137141dex51.htm"/>
      <w:bookmarkStart w:id="21" w:name="ksd137141dex51"/>
      <w:bookmarkEnd w:id="20"/>
      <w:bookmarkEnd w:id="21"/>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3"/>
        <w:gridCol w:w="469"/>
        <w:gridCol w:w="2005"/>
        <w:gridCol w:w="124"/>
        <w:gridCol w:w="1872"/>
        <w:gridCol w:w="175"/>
        <w:gridCol w:w="3557"/>
      </w:tblGrid>
      <w:tr>
        <w:trPr/>
        <w:tc>
          <w:tcPr>
            <w:tcW w:w="2003"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557" w:type="dxa"/>
            <w:tcBorders/>
            <w:vAlign w:val="center"/>
          </w:tcPr>
          <w:p>
            <w:pPr>
              <w:pStyle w:val="TableContents"/>
              <w:bidi w:val="0"/>
              <w:spacing w:before="0" w:after="283"/>
              <w:jc w:val="left"/>
              <w:rPr>
                <w:sz w:val="4"/>
                <w:szCs w:val="4"/>
              </w:rPr>
            </w:pPr>
            <w:r>
              <w:rPr>
                <w:sz w:val="4"/>
                <w:szCs w:val="4"/>
              </w:rPr>
            </w:r>
          </w:p>
        </w:tc>
      </w:tr>
      <w:tr>
        <w:trPr/>
        <w:tc>
          <w:tcPr>
            <w:tcW w:w="2003" w:type="dxa"/>
            <w:tcBorders/>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200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557" w:type="dxa"/>
            <w:tcBorders/>
          </w:tcPr>
          <w:p>
            <w:pPr>
              <w:pStyle w:val="TableContents"/>
              <w:bidi w:val="0"/>
              <w:spacing w:before="0" w:after="283"/>
              <w:jc w:val="left"/>
              <w:rPr/>
            </w:pPr>
            <w:r>
              <w:rPr/>
              <w:drawing>
                <wp:inline distT="0" distB="0" distL="0" distR="0">
                  <wp:extent cx="14478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447800" cy="723900"/>
                          </a:xfrm>
                          <a:prstGeom prst="rect">
                            <a:avLst/>
                          </a:prstGeom>
                        </pic:spPr>
                      </pic:pic>
                    </a:graphicData>
                  </a:graphic>
                </wp:inline>
              </w:drawing>
            </w:r>
            <w:r>
              <w:rPr/>
              <w:t xml:space="preserve"> </w:t>
            </w:r>
          </w:p>
        </w:tc>
      </w:tr>
      <w:tr>
        <w:trPr/>
        <w:tc>
          <w:tcPr>
            <w:tcW w:w="447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Marci K. Donnelly</w:t>
            </w:r>
          </w:p>
          <w:p>
            <w:pPr>
              <w:pStyle w:val="TableContents"/>
              <w:bidi w:val="0"/>
              <w:spacing w:before="0" w:after="20"/>
              <w:jc w:val="left"/>
              <w:rPr>
                <w:rFonts w:ascii="Times New Roman" w:hAnsi="Times New Roman"/>
                <w:sz w:val="20"/>
              </w:rPr>
            </w:pPr>
            <w:r>
              <w:rPr>
                <w:rFonts w:ascii="Times New Roman" w:hAnsi="Times New Roman"/>
                <w:sz w:val="20"/>
              </w:rPr>
              <w:t>Vice President and Deputy Corporate Secretary</w:t>
            </w:r>
          </w:p>
        </w:tc>
        <w:tc>
          <w:tcPr>
            <w:tcW w:w="124"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557" w:type="dxa"/>
            <w:tcBorders/>
          </w:tcPr>
          <w:p>
            <w:pPr>
              <w:pStyle w:val="TableContents"/>
              <w:bidi w:val="0"/>
              <w:spacing w:before="0" w:after="0"/>
              <w:jc w:val="left"/>
              <w:rPr>
                <w:rFonts w:ascii="Times New Roman" w:hAnsi="Times New Roman"/>
                <w:b/>
                <w:sz w:val="20"/>
              </w:rPr>
            </w:pPr>
            <w:r>
              <w:rPr>
                <w:rFonts w:ascii="Times New Roman" w:hAnsi="Times New Roman"/>
                <w:b/>
                <w:sz w:val="20"/>
              </w:rPr>
              <w:t>The Campbell’s Company</w:t>
            </w:r>
          </w:p>
          <w:p>
            <w:pPr>
              <w:pStyle w:val="TableContents"/>
              <w:bidi w:val="0"/>
              <w:spacing w:before="0" w:after="0"/>
              <w:jc w:val="left"/>
              <w:rPr>
                <w:rFonts w:ascii="Times New Roman" w:hAnsi="Times New Roman"/>
                <w:sz w:val="20"/>
              </w:rPr>
            </w:pPr>
            <w:r>
              <w:rPr>
                <w:rFonts w:ascii="Times New Roman" w:hAnsi="Times New Roman"/>
                <w:sz w:val="20"/>
              </w:rPr>
              <w:t>One Campbell Place</w:t>
            </w:r>
          </w:p>
          <w:p>
            <w:pPr>
              <w:pStyle w:val="TableContents"/>
              <w:bidi w:val="0"/>
              <w:spacing w:before="0" w:after="20"/>
              <w:jc w:val="left"/>
              <w:rPr>
                <w:rFonts w:ascii="Times New Roman" w:hAnsi="Times New Roman"/>
                <w:sz w:val="20"/>
              </w:rPr>
            </w:pPr>
            <w:r>
              <w:rPr>
                <w:rFonts w:ascii="Times New Roman" w:hAnsi="Times New Roman"/>
                <w:sz w:val="20"/>
              </w:rPr>
              <w:t>Camden, NJ 08103</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13, 2026 </w:t>
      </w:r>
    </w:p>
    <w:p>
      <w:pPr>
        <w:pStyle w:val="TextBody"/>
        <w:bidi w:val="0"/>
        <w:spacing w:before="240" w:after="0"/>
        <w:jc w:val="left"/>
        <w:rPr>
          <w:rFonts w:ascii="Times New Roman" w:hAnsi="Times New Roman"/>
          <w:sz w:val="20"/>
        </w:rPr>
      </w:pPr>
      <w:r>
        <w:rPr>
          <w:rFonts w:ascii="Times New Roman" w:hAnsi="Times New Roman"/>
          <w:sz w:val="20"/>
        </w:rPr>
        <w:t xml:space="preserve">The Campbell’s Company </w:t>
      </w:r>
    </w:p>
    <w:p>
      <w:pPr>
        <w:pStyle w:val="TextBody"/>
        <w:bidi w:val="0"/>
        <w:spacing w:before="0" w:after="0"/>
        <w:jc w:val="left"/>
        <w:rPr>
          <w:rFonts w:ascii="Times New Roman" w:hAnsi="Times New Roman"/>
          <w:sz w:val="20"/>
        </w:rPr>
      </w:pPr>
      <w:r>
        <w:rPr>
          <w:rFonts w:ascii="Times New Roman" w:hAnsi="Times New Roman"/>
          <w:sz w:val="20"/>
        </w:rPr>
        <w:t xml:space="preserve">One Campbell Place </w:t>
      </w:r>
    </w:p>
    <w:p>
      <w:pPr>
        <w:pStyle w:val="TextBody"/>
        <w:bidi w:val="0"/>
        <w:spacing w:before="0" w:after="0"/>
        <w:jc w:val="left"/>
        <w:rPr>
          <w:rFonts w:ascii="Times New Roman" w:hAnsi="Times New Roman"/>
          <w:sz w:val="20"/>
        </w:rPr>
      </w:pPr>
      <w:r>
        <w:rPr>
          <w:rFonts w:ascii="Times New Roman" w:hAnsi="Times New Roman"/>
          <w:sz w:val="20"/>
        </w:rPr>
        <w:t xml:space="preserve">Camden, New Jersey 08103-1799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my capacity as Vice President and Deputy Corporate Secretary of The Campbell’s Company, a New Jersey corporation (the “Company”), I am furnishing this opinion in connection with the filing by the Company with the Securities and Exchange Commission (the “Commission”) of a Registration Statement on Form S-3 (as it may be amended or supplemented from time to time, the “Registration Statement”) under the Securities Act of 1933, as amended (the “Securities Act”), with respect to the contemplated issuance from time to time of the following securities: (i) senior debt securities of the Company (the “Senior Debt Securities”), which may be issued pursuant to an Indenture dated March 19, 2015, between the Company and Computershare Trust Company, N.A. (as successor in interest to Wells Fargo Bank, National Association) as retiring trustee, as amended and supplemented by the Supplemental Indenture, dated August 17, 2023, between the Company, Computershare Trust Company, N.A. (as successor in interest to Wells Fargo Bank, National Association), as retiring trustee, and U.S. Bank Trust Company, National Association, as successor trustee, as may be further supplemented from time to time (as so supplemented, the “Senior Indenture”), (ii) subordinated debt securities of the Company (the “Subordinated Debt Securities” and, together with the Senior Debt Securities, the “Debt Securities”), which may be issued pursuant to a Subordinated Indenture to be entered into by the Company and U.S. Bank Trust Company, National Association, as trustee (the “Subordinated Indenture” and, together with the Senior Indenture, the “Indentures”), (iii) shares of capital stock, $0.0375 par value per share, of the Company (the “Capital Stock”), (iv) shares of preferred stock, without par value (unless an amendment to the Company’s Restated Certificate of Incorporation creating a class of preferred stock provides for a par value), of the Company (the “Preferred Stock”), (v) warrants (the “Warrants”), (vi) purchase contracts (the “Purchase Contracts”) and (vii) units (the “Units” and, together with the Debt Securities, the Capital Stock, the Preferred Stock, the Warrants and the Purchase Contracts, the “Securities”). The Securities being registered will be offered on a continuous or delayed basis pursuant to the provisions of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so acting, I or other members of the legal department of the Company have examined originals or copies, certified or otherwise identified to my satisfaction, of the Registration Statement, the Restated Certificate of Incorporation of the Company, the Amended and Restated By-Laws of the Company, and such corporate records, agreements, documents and other instruments, and such certificates or comparable documents of public officials and of officers and representatives of the Company as I or they have deemed relevant and necessary as a basis for the opinion hereinafter set forth. I or they have also made such inquiries of such officers and representatives as I have deemed relevant and necessary as a basis for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I have assumed, without inquiry, the legal capacity of all natural persons, the genuineness of all signatures, the authenticity of all documents submitted to me as originals, the conformity to the original documents of documents submitted to me as facsimile, electronic, certified or photostatic copies, and the authenticity of the originals of such copies. In making my examination of executed documents or documents to be executed, I have assumed that the parties thereto, other than the Company, had or will have the power, corporate or other, to enter into and perform all obligations thereunder and I have also assumed the due authorization by all requisite action, corporate or other, and execution and delivery by such parties of such documents and the validity and binding effect on such parties. In addition, I have assumed (i) a definitive underwriting or similar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Campbell’s Company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respect to any Securities will have been duly authorized and validly executed and delivered by the Company and the other parties thereto; (ii) the Registration Statement and any amendments thereto (including any post-effective amendments) will have become effective and comply with all applicable laws at the time the Securities are offered or issued as contemplated by the Registration Statement and no stop order suspending its effectiveness will have been issued and remain in effect; (iii) that all Securities will be issued and sold in compliance with applicable federal and state securities laws and in the manner stated in the Registration Statement and the applicable prospectus supplement; (iv) that a prospectus supplement or term sheet will have been prepared and filed with the Commission describing the Securities offered thereby and will comply at all relevant times with all applicable laws; (v) the applicable Indenture or Indentures and indenture trustees will have been duly qualified under the Trust Indenture Act of 1939, as amended; (vi) that the Company will continue to be validly existing under the laws of New Jersey; and (vii) the Company will have obtained any legally required consents, approvals, authorizations and other orders of the Commission and any other regulatory authorities necessary (x) to issue and sell the Securities being offered and (y) to execute and deliver the applicable Indenture or other applicable operative document. As to any facts material to the opinions expressed herein that I have not independently established or verified, I have relied upon, and assumed the accuracy of, statements and representations of officers and other representatives of the Company and others.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exceptions and assumptions stated herein, I am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 corporation validly existing and in good standing under the laws of the State of New Jersey and has the corporate power and authority to issue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Senior Indenture, any supplemental indenture to be entered into in connection with the issuance of any Senior Debt Securities and the specific terms of a particular series of Senior Debt Securities have been duly authorized by the Board of Directors of the Company, or a duly authorized committee thereof, in accordance with the New Jersey Business Corporation Act, the Company’s Restated Certificate of Incorporation and the Company’s Amended and Restated By-Laws, such Senior Debt Securities will be duly authorized for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Subordinated Indenture, any supplemental indenture to be entered into in connection with the issuance of any Subordinated Debt Securities and the specific terms of a particular series of Subordinated Debt Securities have been duly authorized by the Board of Directors of the Company, or a duly authorized committee thereof, in accordance with the New Jersey Business Corporation Act, the Company’s Restated Certificate of Incorporation and the Company’s Amended and Restated By-Laws, such Subordinated Debt Securities will be duly authorized for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warrant agreement or warrant agreements to be entered into in connection with the issuance of any Warrants and the specific terms of the Warrants have been duly authorized by the Board of Directors of the Company, or a duly authorized committee thereof, in accordance with the New Jersey Business Corporation Act, the Company’s Restated Certificate of Incorporation and the Company’s Amended and Restated By-Laws, such Warrants will be duly authorized for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unit agreement or unit agreements to be entered into in connection with the issuance of any Units and the specific terms of the Units have been duly authorized by the Board of Directors of the Company, or a duly authorized committee thereof, in accordance with the New Jersey Business Corporation Act, the Company’s Restated Certificate of Incorporation and the Company’s Amended and Restated By-Laws, such Units will be duly authorized for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purchase contract agreement or purchase contract agreements to be entered into in connection with the issuance of any Purchase Contracts and the specific terms of the Purchase Contracts have been duly authorized by the Board of Directors of the Company, or a duly authorized committee thereof, in accordance with the New Jersey Business Corporation Act, the Company’s Restated Certificate of Incorporation and the Company’s Amended and Restated By-Laws, such Purchase Contracts will be duly authorized for issuance.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Campbell’s Company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 the issuance and sale of shares of Capital Stock to be offered by the Company pursuant to the Registration Statement (the “Offered Capital Stock”) (including the terms and provisions thereof), the consideration to be received therefor (which shall be at least equal to the aggregate par value of such shares of Offered Capital Stock) and related matters have been duly authorized by the Board of Directors of the Company, or a duly authorized committee thereof, in accordance with the New Jersey Business Corporation Act, the Company’s Restated Certificate of Incorporation and the Company’s Amended and Restated By-Laws; (ii) the form and substance of the documents to be used in connection with the issuance and sale of such Offered Capital Stock (the “Stock Sale Documents”) have been duly authorized by the Board of Directors of the Company, or a duly authorized committee thereof, in accordance with the New Jersey Business Corporation Act, the Company’s Restated Certificate of Incorporation and the Company’s Amended and Restated By-Laws; (iii) the Board of Directors of the Company, or a duly authorized committee thereof, have taken or, subject to specified guidelines, have delegated to appropriate officers or representatives of the Company the authority to take and, pursuant thereto, such officers or representatives shall have taken, all other final action necessary to consummate the authorization of the issuance and sale of such Offered Capital Stock; (iv) the Stock Sale Documents shall have been duly executed and delivered by or on behalf of the parties thereto and shall have become effective as therein provided; (v) certificates in the form required under the New Jersey Business Corporation Act representing the Offered Capital Stock shall have been duly executed, countersigned, registered and delivered upon receipt of payment of the agreed upon consideration therefor and as contemplated by the Registration Statement and the Stock Sale Documents; and (vi) the Offered Capital Stock (to the extent such shares of Capital Stock are to be issued upon the conversion, exchange or exercise of any Securities, registered on the Registration Statement, when such shares have been duly issued and delivered as contemplated by the terms of such Securities), when issued and sold in accordance with the applicable underwriting agreement with respect to the Offered Capital Stock or any other duly authorized, executed and delivered valid and binding purchase or agency agreement will be issued for consideration that shall be at least equal to the aggregate par value of such shares of Capital Stock, the Offered Capital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 the issuance and sale of the shares of Preferred Stock to be offered by the Company pursuant to the Registration Statement (the “Offered Preferred Stock”) (including the terms and provisions thereof), the consideration to be received therefor (which shall be determined by the Board of Directors of the Company and, in the case of Offered Preferred Stock having a par value, which shall be at least equal to the aggregate par value of such shares of Offered Preferred Stock) and related matters have been duly authorized by the Board of Directors of the Company, or a duly authorized committee thereof, in accordance with the New Jersey Business Corporation Act, the Company’s Restated Certificate of Incorporation and the Company’s Amended and Restated By-Laws; (ii) the form and substance of the documents to be used in connection with the issuance and sale of such Offered Preferred Stock (the “Preferred Stock Sale Documents”) have been duly authorized by the Board of Directors of the Company, or a duly authorized committee thereof, in accordance with the New Jersey Business Corporation Act, the Company’s Restated Certificate of Incorporation and the Company’s Amended and Restated By-Laws; (iii) the Board of Directors of the Company, or a duly authorized committee thereof, have taken or, subject to specified guidelines, have delegated to appropriate officers or representatives of the Company the authority to take and, pursuant thereto, such officers or representatives shall have taken, all other final action necessary to consummate the authorization of the issuance and sale of such Offered Preferred Stock; (iv) an amendment to the Restated Certificate of Incorporation of the Company establishing the applicable class or series and containing the terms of such class or series of Preferred Stock has been authorized by the Board of Directors of the Company, or a duly authorized committee thereof, and has been filed with the New Jersey State Treasurer; (v) the Preferred Stock Sale Documents shall have been duly executed and delivered by or on behalf of the parties thereto and shall have become effective as therein provided; (vi) Certificates in the form required under the New Jersey Business Corporation Act representing the Offered Preferred Stock shall have been duly executed, countersigned, registered and delivered upon receipt of payment of the agreed upon consideration therefor and as contemplated by the Registration Statement and the Preferred Stock Sale Documents; and (vii) the Offered Preferred Stock (to the extent such shares of Preferred Stock are to be issued upon the conversion, exchange or exercise of any Securities, registered on the Registration Statement, when such shares have been duly issued and delivered as contemplated by the terms of such Securities), when issued and sold in accordance with the applicable underwriting agreement with respect to the Offered Preferred Stock or any other duly authorized, executed and delivered valid and binding purchase or agency agreement will be issued for consideration as determined by the Board of Directors of the Company and, in the case of Offered Preferred Stock having a par value, that shall be at least equal to the aggregate par value of such shares of Preferred Stock, the Offered Preferred Stock will be validly issued, fully paid and non-assessable.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Campbell’s Company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am a member of the Bar of the State of New Jersey. My opinions herein reflect only the application of applicable laws of the State of New Jersey. The opinions set forth herein are made as of the date hereof and are subject to, and may be limited by, future changes in the factual matters set forth herein, and I undertake no duty to advise you of the same. The opinions expressed herein are based upon the law in effect (and published or otherwise generally available) on the date hereof, which laws are subject to change with possible retroactive effect, and I assume no obligation to revise or supplement these opinions should such law be changed by legislative action, judicial decision or otherwise. In rendering my opinions, I have not considered, and hereby disclaim any opinion as to, the application or impact of any laws, cases, decisions, rules or regulations of any other jurisdiction, court or administrative agency. </w:t>
      </w:r>
    </w:p>
    <w:p>
      <w:pPr>
        <w:pStyle w:val="TextBody"/>
        <w:bidi w:val="0"/>
        <w:spacing w:before="240" w:after="0"/>
        <w:jc w:val="left"/>
        <w:rPr>
          <w:rFonts w:ascii="Times New Roman" w:hAnsi="Times New Roman"/>
          <w:sz w:val="20"/>
        </w:rPr>
      </w:pPr>
      <w:r>
        <w:rPr>
          <w:rFonts w:ascii="Times New Roman" w:hAnsi="Times New Roman"/>
          <w:sz w:val="20"/>
        </w:rPr>
        <w:t xml:space="preserve">I consent to the use of this opinion as an exhibit to the Registration Statement. I also consent to any and all references to myself and this opinion in the prospectus which is part of said Registration Statement. In giving this consent, I do not thereby admit that I am within the category of persons whose consent is required under Section 7 of the Securities Act or the rules and regulations of the Commission promulgated thereunder. This opinion letter is limited to the matters set forth herein, and no opinion may be inferred or implied beyond the matters expressly set forth herein. This opinion letter is not a guaranty nor may one be inferred or implied.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Marci K. Donnelly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2" w:name="d137141dex52.htm"/>
      <w:bookmarkStart w:id="23" w:name="ksd137141dex52"/>
      <w:bookmarkEnd w:id="22"/>
      <w:bookmarkEnd w:id="23"/>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75272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752725" cy="1905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767 Fifth Avenue </w:t>
      </w:r>
    </w:p>
    <w:p>
      <w:pPr>
        <w:pStyle w:val="TextBody"/>
        <w:bidi w:val="0"/>
        <w:spacing w:before="0" w:after="0"/>
        <w:jc w:val="right"/>
        <w:rPr>
          <w:rFonts w:ascii="Times New Roman" w:hAnsi="Times New Roman"/>
          <w:sz w:val="20"/>
        </w:rPr>
      </w:pPr>
      <w:r>
        <w:rPr>
          <w:rFonts w:ascii="Times New Roman" w:hAnsi="Times New Roman"/>
          <w:sz w:val="20"/>
        </w:rPr>
        <w:t xml:space="preserve">New York, NY 10153-0119 </w:t>
      </w:r>
    </w:p>
    <w:p>
      <w:pPr>
        <w:pStyle w:val="TextBody"/>
        <w:bidi w:val="0"/>
        <w:spacing w:before="0" w:after="0"/>
        <w:jc w:val="right"/>
        <w:rPr>
          <w:rFonts w:ascii="Times New Roman" w:hAnsi="Times New Roman"/>
          <w:sz w:val="20"/>
        </w:rPr>
      </w:pPr>
      <w:r>
        <w:rPr>
          <w:rFonts w:ascii="Times New Roman" w:hAnsi="Times New Roman"/>
          <w:sz w:val="20"/>
        </w:rPr>
        <w:t xml:space="preserve">+1 212 310 8000 tel </w:t>
      </w:r>
    </w:p>
    <w:p>
      <w:pPr>
        <w:pStyle w:val="TextBody"/>
        <w:bidi w:val="0"/>
        <w:spacing w:before="0" w:after="0"/>
        <w:jc w:val="right"/>
        <w:rPr>
          <w:rFonts w:ascii="Times New Roman" w:hAnsi="Times New Roman"/>
          <w:sz w:val="20"/>
        </w:rPr>
      </w:pPr>
      <w:r>
        <w:rPr>
          <w:rFonts w:ascii="Times New Roman" w:hAnsi="Times New Roman"/>
          <w:sz w:val="20"/>
        </w:rPr>
        <w:t xml:space="preserve">+1 212 310 8007 fax </w:t>
      </w:r>
    </w:p>
    <w:p>
      <w:pPr>
        <w:pStyle w:val="TextBody"/>
        <w:bidi w:val="0"/>
        <w:spacing w:before="240" w:after="0"/>
        <w:jc w:val="left"/>
        <w:rPr>
          <w:rFonts w:ascii="Times New Roman" w:hAnsi="Times New Roman"/>
          <w:sz w:val="20"/>
        </w:rPr>
      </w:pPr>
      <w:r>
        <w:rPr>
          <w:rFonts w:ascii="Times New Roman" w:hAnsi="Times New Roman"/>
          <w:sz w:val="20"/>
        </w:rPr>
        <w:t xml:space="preserve">August 13, 2026 </w:t>
      </w:r>
    </w:p>
    <w:p>
      <w:pPr>
        <w:pStyle w:val="TextBody"/>
        <w:bidi w:val="0"/>
        <w:spacing w:before="240" w:after="0"/>
        <w:jc w:val="left"/>
        <w:rPr>
          <w:rFonts w:ascii="Times New Roman" w:hAnsi="Times New Roman"/>
          <w:sz w:val="20"/>
        </w:rPr>
      </w:pPr>
      <w:r>
        <w:rPr>
          <w:rFonts w:ascii="Times New Roman" w:hAnsi="Times New Roman"/>
          <w:sz w:val="20"/>
        </w:rPr>
        <w:t xml:space="preserve">The Campbell’s Company </w:t>
      </w:r>
    </w:p>
    <w:p>
      <w:pPr>
        <w:pStyle w:val="TextBody"/>
        <w:bidi w:val="0"/>
        <w:spacing w:before="0" w:after="0"/>
        <w:jc w:val="left"/>
        <w:rPr>
          <w:rFonts w:ascii="Times New Roman" w:hAnsi="Times New Roman"/>
          <w:sz w:val="20"/>
        </w:rPr>
      </w:pPr>
      <w:r>
        <w:rPr>
          <w:rFonts w:ascii="Times New Roman" w:hAnsi="Times New Roman"/>
          <w:sz w:val="20"/>
        </w:rPr>
        <w:t xml:space="preserve">One Campbell Place </w:t>
      </w:r>
    </w:p>
    <w:p>
      <w:pPr>
        <w:pStyle w:val="TextBody"/>
        <w:bidi w:val="0"/>
        <w:spacing w:before="0" w:after="0"/>
        <w:jc w:val="left"/>
        <w:rPr>
          <w:rFonts w:ascii="Times New Roman" w:hAnsi="Times New Roman"/>
          <w:sz w:val="20"/>
        </w:rPr>
      </w:pPr>
      <w:r>
        <w:rPr>
          <w:rFonts w:ascii="Times New Roman" w:hAnsi="Times New Roman"/>
          <w:sz w:val="20"/>
        </w:rPr>
        <w:t xml:space="preserve">Camden, New Jersey 08103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The Campbell’s Company, a New Jersey corporation (the “Company”) in connection with the preparation and filing with the Securities and Exchange Commission (the “Commission”) of the Registration Statement on Form S-3 (the “Registration Statement”), under the Securities Act of 1933, as amended (the “Securities Act”), relating to the registration of the offer, issuance and sale from time to time of an indeterminate number of (i) senior and subordinated debt securities of the Company (the “Debt Securities”); (ii) shares of capital stock, par value $0.0375 per share, of the Company (the “Capital Stock”); (iii) shares of preferred stock, without par value, of the Company (the “Preferred Stock”); (iv) warrants (the “Warrants”); (v) purchase contracts (the “Purchase Contracts”); and (vi) units (the “Units” and, together with the Debt Securities, Capital Stock, Preferred Stock, Warrants and Purchase Contracts,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so acting, we have examined originals or copies (certified or otherwise identified to our satisfaction) of: (i) the Registration Statement; (ii) the prospectus contained within the Registration Statement; (iii) the indenture, dated as of March 19, 2015, between the Company and Computershare Trust Company, N.A. (successor in interest to Wells Fargo Bank, National Association), as trustee, as supplemented by the first supplemental indenture, dated as of August 17, 2023, among the Company, Computershare Trust Company, N.A., successor in interest to Wells Fargo Bank, National Association, as retiring trustee, and U.S. Bank Trust Company, National Association, as successor trustee, as supplemented and amended to the date hereof (the “Senior Notes Indenture”); (iv) the Form of Subordinated Indenture, to be entered into between the Company and U.S. Bank Trust Company, National Association, as trustee (together with the Senior Notes Indenture, the “Indentures,” and each an “Indenture”); and (v)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 Based on and subject to the foregoing and assuming that: (i) the Company, the underwriters, Trustee, warrant agent, purchase contract agent and unit agent, as applicable, when appointed, will be duly organized, validly existing and in good standing under the laws of their respective jurisdictions of incorporation, and will have the requisite corporate power and authority to enter into and perform their respective obligations related to the offering of Securities and under the underwriting or similar agreement, Indenture and any supplemental indenture relating to the Debt Securities, the warrant agreement relating to the Warrants, the purchase contract agreement relating to the Purchase Contracts and the unit agreement relating to the Units, as applicable; (ii) all corporate action required to be taken by the Company, underwriters, Trustee, warrant agent, purchase contract agent and unit agent to duly authorize each proposed issuance of Securities, as applicable, and to execute, deliver and perform each of the operative documents related to the offering of the Securities will have been completed (and each operative document is governed by New York law); (iii) the Registration Statement and any amendments thereto (including any post-effective amendments) will have become effective and comply with all applicable laws and no stop order suspending the Registration Statement’s effectiveness will have been issued and remain in effect, in each case, at the time the Securities are offered or issued as contemplated in the Registration Statement; (iv) all Securities will have been offered, issued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sold in compliance with applicable federal and state securities laws and in the manner stated in the Registration Statement, the applicable prospectus supplement and the applicable definitive underwriting or similar agreement; (v) the Indentures and any indenture governing the Debt Securities, in each case including any supplemental indentures thereto, have or will have been qualified under the Trust Indenture Act of 1939, as amended; (vi) any legally required consents, approvals, authorizations or orders of the Commission and any other regulatory authority will have been issued; (vii) the terms of any Securities and their issuance and sale will have been duly established so as not to violate any applicable law or result in a default under or breach of any agreement or instrument binding on the Company and so as to comply with any requirements or restrictions imposed by any court or governmental body having jurisdiction over the Company, as the case may be; (viii) a definitive underwriting or similar agreement and any other necessary agreement with respect to any Securities will have been duly authorized and validly executed and delivered by the Company and the other party or parties thereto; and (ix) any Securities issuable upon conversion, exercise or exchange of any Securities being offered or issued will have been duly authorized, created and, if appropriate, reserved for issuance upon such conversion, exercise or exchange, we advise you that in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Debt Securities</w:t>
            </w:r>
            <w:r>
              <w:rPr>
                <w:rFonts w:ascii="Times New Roman" w:hAnsi="Times New Roman"/>
                <w:sz w:val="20"/>
              </w:rPr>
              <w:t xml:space="preserve">. Assuming that (i) the issuance, execution, delivery and performance of any Debt Securities and the terms thereof have been duly authorized by all necessary corporate action on the part of the Company; (ii) the terms of such Debt Securities to be issued under the applicable Indenture and any applicable supplemental indenture and the terms of their issuance and sale have been duly established in conformity with such Indenture and such supplemental indenture so as not to violate any applicable law, affect the enforceability of such Debt Securities or result in a default under or breach of any agreement or instrument binding on the Company and so as to comply with any requirements or restrictions imposed by any court or governmental body having jurisdiction over the Company; (iii) such Indenture and such supplemental indenture have been duly authorized, executed and delivered; (iv) the Indentures and supplemental indentures constitute legal, valid and binding obligations of the Trustee, enforceable against it in accordance with their terms; and (v) such Debt Securities have been duly executed and authenticated in accordance with the applicable Indenture and any applicable supplemental indenture and issued and sold as contemplated in the Registration Statement and any prospectus supplement relating thereto, and in accordance with any applicable underwriting or similar agreement approved by the Company’s board of directors, then such Debt Securities will constitute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Warrants</w:t>
            </w:r>
            <w:r>
              <w:rPr>
                <w:rFonts w:ascii="Times New Roman" w:hAnsi="Times New Roman"/>
                <w:sz w:val="20"/>
              </w:rPr>
              <w:t xml:space="preserve">. Assuming that (i) the issuance, execution, delivery and performance of any Warrants (including any Warrants that may be issued as part of Units or otherwise pursuant to the terms of any other Securities) and the terms thereof have been duly authorized by all necessary corporate action on the part of the Company, (ii) the warrant agreement or warrant agreements relating to such Warrants have been duly authorized, executed and delivered by all parties thereto, (iii) the terms of such Warrants have been duly established so as not to violate any applicable law, affect the enforceability of such Warrants or result in a default under or breach of any agreement or instrument binding on the Company and so as to comply with any requirements or restrictions imposed by any court or governmental body having jurisdiction over the Company, and (iv) such Warrants or certificates representing such Warrants have been duly executed, authenticated, issued, paid for and delivered as contemplated in the Registration Statement and any prospectus supplement relating thereto, and in accordance with any applicable underwriting or similar agreement approved by the Company’s board of directors, such Warrants (including any Warrants that may be issued as part of Units or otherwise pursuant to the terms of any other Securities) will constitute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Purchase Contracts</w:t>
            </w:r>
            <w:r>
              <w:rPr>
                <w:rFonts w:ascii="Times New Roman" w:hAnsi="Times New Roman"/>
                <w:sz w:val="20"/>
              </w:rPr>
              <w:t xml:space="preserve">. Assuming that (i) the issuance, execution, delivery and performance of any Purchase Contracts and the terms thereof have been duly authorized by all necessary corporate action on the part of the Company and the securities of any other entities to be included in the Purchase Contracts, if any, have been duly authorized and issued by such entity, (ii) the purchase contract agreement or purchase contract agreements relating to such Purchase Contracts have been duly authorized, executed and delivered by all parties thereto, (iii) the terms of such Purchase Contracts have been duly established so as not to violate any applicable law, affect the enforceability of such Purchase Contracts or result in a default under or breach of any agreement or instrument binding on the Company and so as to comply with any requirements or restrictions imposed by any court or governmental body having jurisdiction over the Company, and (iv)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such Purchase Contracts have been duly executed in accordance with the applicable purchase contract agreement and issued, paid for and delivered as contemplated in the Registration Statement and any prospectus supplement relating thereto, and in accordance with any applicable underwriting or similar agreement approved by the Company’s board of directors, such Purchase Contracts will constitute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Units</w:t>
            </w:r>
            <w:r>
              <w:rPr>
                <w:rFonts w:ascii="Times New Roman" w:hAnsi="Times New Roman"/>
                <w:sz w:val="20"/>
              </w:rPr>
              <w:t xml:space="preserve">. Assuming that (i) the issuance, execution, delivery and performance of any Units and the terms thereof have been duly authorized by all necessary corporate action on the part of the Company and the securities of any other entities to be included in the Units, if any, have been duly authorized and issued by such entity, (ii) the unit agreement or unit agreements relating to such Units have been duly authorized, executed and delivered by all parties thereto, (iii) the terms of such Units have been duly established so as not to violate any applicable law, affect the enforceability of such Units or result in a default under or breach of any agreement or instrument binding on the Company and so as to comply with any requirements or restrictions imposed by any court or governmental body having jurisdiction over the Company, and (iv) such Units have been issued, paid for and delivered against any contemplated payment therefor and issued and sold as contemplated in the Registration Statement and any prospectus supplement relating thereto, and any applicable underwriting or similar agreement approved by the Company’s board of directors, such Units will constitute valid and binding obligations of the Company, enforceable against the Company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opinion expressed above with respect to the validity, binding effect and enforceability of the Securities is subject to the effect of any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federal and state securities laws or public policy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Each opinion expressed herein is limited to the laws of the State of New York, and we express no opinion as to the effect on the matters covered by this letter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letter as an exhibit to the Registration Statement and to any and all references to our firm in the prospectus which is a part of the Registration Statement. In giving such consent we do not hereby admit that we are in the category of persons whose consent is required under Section 7 of the Securities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Weil, Gotshal &amp; Manges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sz w:val="20"/>
        </w:rPr>
      </w:pPr>
      <w:bookmarkStart w:id="24" w:name="d137141dex231.htm"/>
      <w:bookmarkStart w:id="25" w:name="ksd137141dex231"/>
      <w:bookmarkEnd w:id="24"/>
      <w:bookmarkEnd w:id="25"/>
      <w:r>
        <w:rPr>
          <w:rFonts w:ascii="Times New Roman" w:hAnsi="Times New Roman"/>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The Campbell’s Company of our report dated September 18, 2025 relating to the financial statements, financial statement schedule and the effectiveness of internal control over financial reporting, which appears in The Campbell’s Company’s Annual Report on Form 10-K for the year ended August 3,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240" w:after="0"/>
        <w:jc w:val="left"/>
        <w:rPr>
          <w:rFonts w:ascii="Times New Roman" w:hAnsi="Times New Roman"/>
          <w:sz w:val="20"/>
        </w:rPr>
      </w:pPr>
      <w:r>
        <w:rPr>
          <w:rFonts w:ascii="Times New Roman" w:hAnsi="Times New Roman"/>
          <w:sz w:val="20"/>
        </w:rPr>
        <w:t xml:space="preserve">August 13, 2026 </w:t>
      </w:r>
    </w:p>
    <w:p>
      <w:pPr>
        <w:pStyle w:val="TextBody"/>
        <w:bidi w:val="0"/>
        <w:spacing w:before="0" w:after="0"/>
        <w:jc w:val="right"/>
        <w:rPr>
          <w:rFonts w:ascii="Times New Roman" w:hAnsi="Times New Roman"/>
          <w:b/>
          <w:sz w:val="20"/>
        </w:rPr>
      </w:pPr>
      <w:bookmarkStart w:id="26" w:name="d137141dex251.htm"/>
      <w:bookmarkStart w:id="27" w:name="ksd137141dex251"/>
      <w:bookmarkEnd w:id="26"/>
      <w:bookmarkEnd w:id="27"/>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20"/>
        </w:rPr>
        <w:t>SECURITIES</w:t>
      </w:r>
      <w:r>
        <w:rPr>
          <w:rFonts w:ascii="Times New Roman" w:hAnsi="Times New Roman"/>
          <w:b/>
          <w:sz w:val="36"/>
        </w:rPr>
        <w:t xml:space="preserve"> </w:t>
      </w:r>
      <w:r>
        <w:rPr>
          <w:rFonts w:ascii="Times New Roman" w:hAnsi="Times New Roman"/>
          <w:b/>
          <w:sz w:val="20"/>
        </w:rPr>
        <w:t>AND</w:t>
      </w:r>
      <w:r>
        <w:rPr>
          <w:rFonts w:ascii="Times New Roman" w:hAnsi="Times New Roman"/>
          <w:b/>
          <w:sz w:val="36"/>
        </w:rPr>
        <w:t xml:space="preserve"> </w:t>
      </w:r>
      <w:r>
        <w:rPr>
          <w:rFonts w:ascii="Times New Roman" w:hAnsi="Times New Roman"/>
          <w:b/>
          <w:sz w:val="20"/>
        </w:rPr>
        <w:t>EXCHANGE</w:t>
      </w:r>
      <w:r>
        <w:rPr>
          <w:rFonts w:ascii="Times New Roman" w:hAnsi="Times New Roman"/>
          <w:b/>
          <w:sz w:val="36"/>
        </w:rPr>
        <w:t xml:space="preserve"> </w:t>
      </w:r>
      <w:r>
        <w:rPr>
          <w:rFonts w:ascii="Times New Roman" w:hAnsi="Times New Roman"/>
          <w:b/>
          <w:sz w:val="20"/>
        </w:rPr>
        <w:t>COMMISSION</w:t>
      </w:r>
      <w:r>
        <w:rPr>
          <w:rFonts w:ascii="Times New Roman" w:hAnsi="Times New Roman"/>
          <w:b/>
          <w:sz w:val="36"/>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91-1821036 </w:t>
      </w:r>
    </w:p>
    <w:p>
      <w:pPr>
        <w:pStyle w:val="TextBody"/>
        <w:bidi w:val="0"/>
        <w:spacing w:before="0" w:after="0"/>
        <w:jc w:val="center"/>
        <w:rPr>
          <w:rFonts w:ascii="Times New Roman" w:hAnsi="Times New Roman"/>
          <w:b/>
          <w:sz w:val="16"/>
        </w:rPr>
      </w:pPr>
      <w:r>
        <w:rPr>
          <w:rFonts w:ascii="Times New Roman" w:hAnsi="Times New Roman"/>
          <w:b/>
          <w:sz w:val="16"/>
        </w:rPr>
        <w:t xml:space="preserve">I.R.S. Employer Identification No.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200 South 6th Street</w:t>
            </w:r>
          </w:p>
          <w:p>
            <w:pPr>
              <w:pStyle w:val="TableContents"/>
              <w:bidi w:val="0"/>
              <w:spacing w:before="0" w:after="20"/>
              <w:jc w:val="center"/>
              <w:rPr>
                <w:rFonts w:ascii="Times New Roman" w:hAnsi="Times New Roman"/>
                <w:b/>
                <w:sz w:val="20"/>
              </w:rPr>
            </w:pPr>
            <w:r>
              <w:rPr>
                <w:rFonts w:ascii="Times New Roman" w:hAnsi="Times New Roman"/>
                <w:b/>
                <w:sz w:val="20"/>
              </w:rPr>
              <w:t>Minneapolis, Minnesota</w:t>
            </w:r>
          </w:p>
        </w:tc>
        <w:tc>
          <w:tcPr>
            <w:tcW w:w="101" w:type="dxa"/>
            <w:tcBorders/>
            <w:vAlign w:val="bottom"/>
          </w:tcPr>
          <w:p>
            <w:pPr>
              <w:pStyle w:val="TableContents"/>
              <w:bidi w:val="0"/>
              <w:spacing w:before="0" w:after="283"/>
              <w:jc w:val="left"/>
              <w:rPr/>
            </w:pPr>
            <w:r>
              <w:rPr/>
              <w:t> </w:t>
            </w:r>
          </w:p>
        </w:tc>
        <w:tc>
          <w:tcPr>
            <w:tcW w:w="4950" w:type="dxa"/>
            <w:tcBorders/>
            <w:vAlign w:val="bottom"/>
          </w:tcPr>
          <w:p>
            <w:pPr>
              <w:pStyle w:val="TableContents"/>
              <w:bidi w:val="0"/>
              <w:spacing w:before="0" w:after="283"/>
              <w:jc w:val="center"/>
              <w:rPr>
                <w:b/>
              </w:rPr>
            </w:pPr>
            <w:r>
              <w:rPr>
                <w:b/>
              </w:rPr>
              <w:t>55402</w:t>
            </w:r>
          </w:p>
        </w:tc>
      </w:tr>
      <w:tr>
        <w:trPr/>
        <w:tc>
          <w:tcPr>
            <w:tcW w:w="5154"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Adina Casper </w:t>
      </w:r>
    </w:p>
    <w:p>
      <w:pPr>
        <w:pStyle w:val="TextBody"/>
        <w:bidi w:val="0"/>
        <w:spacing w:before="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333 Thornall St., 4th Fl </w:t>
      </w:r>
    </w:p>
    <w:p>
      <w:pPr>
        <w:pStyle w:val="TextBody"/>
        <w:bidi w:val="0"/>
        <w:spacing w:before="0" w:after="0"/>
        <w:jc w:val="center"/>
        <w:rPr>
          <w:rFonts w:ascii="Times New Roman" w:hAnsi="Times New Roman"/>
          <w:b/>
          <w:sz w:val="20"/>
        </w:rPr>
      </w:pPr>
      <w:r>
        <w:rPr>
          <w:rFonts w:ascii="Times New Roman" w:hAnsi="Times New Roman"/>
          <w:b/>
          <w:sz w:val="20"/>
        </w:rPr>
        <w:t xml:space="preserve">Edison, NJ 08837 </w:t>
      </w:r>
    </w:p>
    <w:p>
      <w:pPr>
        <w:pStyle w:val="TextBody"/>
        <w:bidi w:val="0"/>
        <w:spacing w:before="0" w:after="0"/>
        <w:jc w:val="center"/>
        <w:rPr>
          <w:rFonts w:ascii="Times New Roman" w:hAnsi="Times New Roman"/>
          <w:b/>
          <w:sz w:val="20"/>
        </w:rPr>
      </w:pPr>
      <w:r>
        <w:rPr>
          <w:rFonts w:ascii="Times New Roman" w:hAnsi="Times New Roman"/>
          <w:b/>
          <w:sz w:val="20"/>
        </w:rPr>
        <w:t xml:space="preserve">732-321-3956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200" w:after="0"/>
        <w:jc w:val="center"/>
        <w:rPr>
          <w:rFonts w:ascii="Times New Roman" w:hAnsi="Times New Roman"/>
          <w:b/>
          <w:sz w:val="20"/>
        </w:rPr>
      </w:pPr>
      <w:r>
        <w:rPr>
          <w:rFonts w:ascii="Times New Roman" w:hAnsi="Times New Roman"/>
          <w:b/>
          <w:sz w:val="20"/>
        </w:rPr>
        <w:t xml:space="preserve">The Campbell’s Company </w:t>
      </w:r>
    </w:p>
    <w:p>
      <w:pPr>
        <w:pStyle w:val="TextBody"/>
        <w:bidi w:val="0"/>
        <w:spacing w:before="0" w:after="0"/>
        <w:jc w:val="center"/>
        <w:rPr>
          <w:rFonts w:ascii="Times New Roman" w:hAnsi="Times New Roman"/>
          <w:b/>
          <w:sz w:val="16"/>
        </w:rPr>
      </w:pPr>
      <w:r>
        <w:rPr>
          <w:rFonts w:ascii="Times New Roman" w:hAnsi="Times New Roman"/>
          <w:b/>
          <w:sz w:val="16"/>
        </w:rPr>
        <w:t xml:space="preserve">(Issuer with respect to the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Jersey</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21-0419870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Campbell Place</w:t>
            </w:r>
          </w:p>
          <w:p>
            <w:pPr>
              <w:pStyle w:val="TableContents"/>
              <w:bidi w:val="0"/>
              <w:spacing w:before="0" w:after="20"/>
              <w:jc w:val="center"/>
              <w:rPr>
                <w:rFonts w:ascii="Times New Roman" w:hAnsi="Times New Roman"/>
                <w:b/>
                <w:sz w:val="20"/>
              </w:rPr>
            </w:pPr>
            <w:r>
              <w:rPr>
                <w:rFonts w:ascii="Times New Roman" w:hAnsi="Times New Roman"/>
                <w:b/>
                <w:sz w:val="20"/>
              </w:rPr>
              <w:t>Camden, NJ</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08103-1799</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Senior 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Comptroller of the Currency </w:t>
      </w:r>
    </w:p>
    <w:p>
      <w:pPr>
        <w:pStyle w:val="TextBody"/>
        <w:bidi w:val="0"/>
        <w:spacing w:before="0" w:after="0"/>
        <w:jc w:val="left"/>
        <w:rPr>
          <w:rFonts w:ascii="Times New Roman" w:hAnsi="Times New Roman"/>
          <w:sz w:val="20"/>
        </w:rPr>
      </w:pPr>
      <w:r>
        <w:rPr>
          <w:rFonts w:ascii="Times New Roman" w:hAnsi="Times New Roman"/>
          <w:sz w:val="20"/>
        </w:rPr>
        <w:t xml:space="preserve">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Whether it is authorized to exercise corporate trust powers.</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AFFILIATIONS WITH THE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Items 3-15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 xml:space="preserve">List below all exhibits filed as a part of this statement of eligibility and qualification.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Trustee, attached as Exhibit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included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attached as Exhibit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of Condition of the Trustee as of March 31, 2026, published pursuant to law or the requirements of its supervising or examining authority, attached as Exhibit 7.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Township of Edison, State of New Jersey on the 28th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Adina Casper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Adina Casper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U. 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(the “Association”) to perform any lawful activities of national banks, the undersigned enter into the following Articles of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FIRST. </w:t>
      </w:r>
      <w:r>
        <w:rPr>
          <w:rFonts w:ascii="Times New Roman" w:hAnsi="Times New Roman"/>
          <w:sz w:val="20"/>
        </w:rPr>
        <w:t xml:space="preserve">The title of this Association shall be U. S. Bank Trust Company, National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- 1 -</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80000-383/060297/XBB02E85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 </w:t>
      </w:r>
    </w:p>
    <w:p>
      <w:pPr>
        <w:pStyle w:val="TextBody"/>
        <w:bidi w:val="0"/>
        <w:spacing w:before="24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the Association’s stock are subject to the prior written approval of a federal depository institution regulatory agency. If no other agency approval is required, the approval of the Comptroller of the Currency must be obtained prior to any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- 2 -</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80000-383/060297/XBB02B85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Articles of Association or required by law, all shares of voting stock shall be voted together as a class, on any matters requiring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 xml:space="preserve">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- 3 -</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80000-383/060297/XBB02E85</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 xml:space="preserve">EIGHTH. </w:t>
      </w:r>
      <w:r>
        <w:rPr>
          <w:rFonts w:ascii="Times New Roman" w:hAnsi="Times New Roman"/>
          <w:sz w:val="20"/>
        </w:rPr>
        <w:t xml:space="preserve">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NINTH. </w:t>
      </w:r>
      <w:r>
        <w:rPr>
          <w:rFonts w:ascii="Times New Roman" w:hAnsi="Times New Roman"/>
          <w:sz w:val="20"/>
        </w:rPr>
        <w:t xml:space="preserve">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TENTH. </w:t>
      </w:r>
      <w:r>
        <w:rPr>
          <w:rFonts w:ascii="Times New Roman" w:hAnsi="Times New Roman"/>
          <w:sz w:val="20"/>
        </w:rPr>
        <w:t xml:space="preserve">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- 4 -</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80000-383/06fY297/XBBfY2E85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we have hereunto set our hands this 11th of June, 1997.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T. Grubb</w:t>
            </w:r>
          </w:p>
        </w:tc>
      </w:tr>
      <w:tr>
        <w:trPr/>
        <w:tc>
          <w:tcPr>
            <w:tcW w:w="4082" w:type="dxa"/>
            <w:tcBorders/>
          </w:tcPr>
          <w:p>
            <w:pPr>
              <w:pStyle w:val="TableContents"/>
              <w:bidi w:val="0"/>
              <w:spacing w:before="0" w:after="283"/>
              <w:jc w:val="left"/>
              <w:rPr/>
            </w:pPr>
            <w:r>
              <w:rPr/>
              <w:t>Jeffrey T. Grubb</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D. Sznewajs</w:t>
            </w:r>
          </w:p>
        </w:tc>
      </w:tr>
      <w:tr>
        <w:trPr/>
        <w:tc>
          <w:tcPr>
            <w:tcW w:w="4082" w:type="dxa"/>
            <w:tcBorders/>
          </w:tcPr>
          <w:p>
            <w:pPr>
              <w:pStyle w:val="TableContents"/>
              <w:bidi w:val="0"/>
              <w:spacing w:before="0" w:after="283"/>
              <w:jc w:val="left"/>
              <w:rPr/>
            </w:pPr>
            <w:r>
              <w:rPr/>
              <w:t>Robert D. Sznewajs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Dwight V. Board</w:t>
            </w:r>
          </w:p>
        </w:tc>
      </w:tr>
      <w:tr>
        <w:trPr/>
        <w:tc>
          <w:tcPr>
            <w:tcW w:w="4082" w:type="dxa"/>
            <w:tcBorders/>
          </w:tcPr>
          <w:p>
            <w:pPr>
              <w:pStyle w:val="TableContents"/>
              <w:bidi w:val="0"/>
              <w:spacing w:before="0" w:after="283"/>
              <w:jc w:val="left"/>
              <w:rPr/>
            </w:pPr>
            <w:r>
              <w:rPr/>
              <w:t>Dwight V.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 K. Chatterjee</w:t>
            </w:r>
          </w:p>
        </w:tc>
      </w:tr>
      <w:tr>
        <w:trPr/>
        <w:tc>
          <w:tcPr>
            <w:tcW w:w="4082" w:type="dxa"/>
            <w:tcBorders/>
          </w:tcPr>
          <w:p>
            <w:pPr>
              <w:pStyle w:val="TableContents"/>
              <w:bidi w:val="0"/>
              <w:spacing w:before="0" w:after="283"/>
              <w:jc w:val="left"/>
              <w:rPr/>
            </w:pPr>
            <w:r>
              <w:rPr/>
              <w:t>P. K. Chatterjee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Lane</w:t>
            </w:r>
          </w:p>
        </w:tc>
      </w:tr>
      <w:tr>
        <w:trPr/>
        <w:tc>
          <w:tcPr>
            <w:tcW w:w="4082" w:type="dxa"/>
            <w:tcBorders/>
          </w:tcPr>
          <w:p>
            <w:pPr>
              <w:pStyle w:val="TableContents"/>
              <w:bidi w:val="0"/>
              <w:spacing w:before="0" w:after="283"/>
              <w:jc w:val="left"/>
              <w:rPr/>
            </w:pPr>
            <w:r>
              <w:rPr/>
              <w:t>Robert Lane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
        <w:gridCol w:w="108"/>
        <w:gridCol w:w="4687"/>
        <w:gridCol w:w="125"/>
        <w:gridCol w:w="4520"/>
      </w:tblGrid>
      <w:tr>
        <w:trPr/>
        <w:tc>
          <w:tcPr>
            <w:tcW w:w="76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8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r>
      <w:tr>
        <w:trPr/>
        <w:tc>
          <w:tcPr>
            <w:tcW w:w="765" w:type="dxa"/>
            <w:vMerge w:val="restart"/>
            <w:tcBorders/>
          </w:tcPr>
          <w:p>
            <w:pPr>
              <w:pStyle w:val="TableContents"/>
              <w:bidi w:val="0"/>
              <w:spacing w:before="0" w:after="283"/>
              <w:jc w:val="left"/>
              <w:rPr/>
            </w:pPr>
            <w:r>
              <w:rPr/>
              <w:drawing>
                <wp:inline distT="0" distB="0" distL="0" distR="0">
                  <wp:extent cx="485775"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485775" cy="495300"/>
                          </a:xfrm>
                          <a:prstGeom prst="rect">
                            <a:avLst/>
                          </a:prstGeom>
                        </pic:spPr>
                      </pic:pic>
                    </a:graphicData>
                  </a:graphic>
                </wp:inline>
              </w:drawing>
            </w:r>
            <w:r>
              <w:rPr/>
              <w:t xml:space="preserve"> </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687" w:type="dxa"/>
            <w:tcBorders>
              <w:bottom w:val="single" w:sz="2" w:space="0" w:color="000000"/>
            </w:tcBorders>
            <w:tcMar>
              <w:bottom w:w="28" w:type="dxa"/>
            </w:tcMar>
          </w:tcPr>
          <w:p>
            <w:pPr>
              <w:pStyle w:val="TableContents"/>
              <w:bidi w:val="0"/>
              <w:spacing w:before="0" w:after="283"/>
              <w:jc w:val="left"/>
              <w:rPr/>
            </w:pPr>
            <w:r>
              <w:rPr/>
              <w:t>Office of the Comptroller of the Currency</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4520" w:type="dxa"/>
            <w:tcBorders>
              <w:bottom w:val="single" w:sz="2" w:space="0" w:color="000000"/>
            </w:tcBorders>
            <w:tcMar>
              <w:bottom w:w="28" w:type="dxa"/>
            </w:tcMar>
          </w:tcPr>
          <w:p>
            <w:pPr>
              <w:pStyle w:val="TableContents"/>
              <w:bidi w:val="0"/>
              <w:spacing w:before="0" w:after="283"/>
              <w:jc w:val="left"/>
              <w:rPr/>
            </w:pPr>
            <w:r>
              <w:rPr/>
              <w:t> </w:t>
            </w:r>
          </w:p>
        </w:tc>
      </w:tr>
      <w:tr>
        <w:trPr/>
        <w:tc>
          <w:tcPr>
            <w:tcW w:w="765" w:type="dxa"/>
            <w:vMerge w:val="continue"/>
            <w:tcBorders/>
          </w:tcPr>
          <w:p>
            <w:pPr>
              <w:pStyle w:val="Normal"/>
              <w:bidi w:val="0"/>
              <w:jc w:val="left"/>
              <w:rPr/>
            </w:pPr>
            <w:r>
              <w:rPr/>
            </w:r>
          </w:p>
        </w:tc>
        <w:tc>
          <w:tcPr>
            <w:tcW w:w="108" w:type="dxa"/>
            <w:tcBorders/>
            <w:vAlign w:val="bottom"/>
          </w:tcPr>
          <w:p>
            <w:pPr>
              <w:pStyle w:val="TableContents"/>
              <w:bidi w:val="0"/>
              <w:spacing w:before="0" w:after="283"/>
              <w:jc w:val="left"/>
              <w:rPr/>
            </w:pPr>
            <w:r>
              <w:rPr/>
              <w:t> </w:t>
            </w:r>
          </w:p>
        </w:tc>
        <w:tc>
          <w:tcPr>
            <w:tcW w:w="468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520" w:type="dxa"/>
            <w:tcBorders/>
          </w:tcPr>
          <w:p>
            <w:pPr>
              <w:pStyle w:val="TableContents"/>
              <w:bidi w:val="0"/>
              <w:spacing w:before="0" w:after="283"/>
              <w:jc w:val="right"/>
              <w:rPr/>
            </w:pPr>
            <w:r>
              <w:rPr/>
              <w:t>Washington, DC 20219</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CERTIFICATE OF CORPORATE EXISTENCE AND FIDUCIARY POWERS </w:t>
      </w:r>
    </w:p>
    <w:p>
      <w:pPr>
        <w:pStyle w:val="TextBody"/>
        <w:bidi w:val="0"/>
        <w:spacing w:before="120" w:after="0"/>
        <w:jc w:val="left"/>
        <w:rPr>
          <w:rFonts w:ascii="Times New Roman" w:hAnsi="Times New Roman"/>
          <w:sz w:val="20"/>
        </w:rPr>
      </w:pPr>
      <w:r>
        <w:rPr>
          <w:rFonts w:ascii="Times New Roman" w:hAnsi="Times New Roman"/>
          <w:sz w:val="20"/>
        </w:rPr>
        <w:t xml:space="preserve">I, Jonathan Gould, Comptroller of the Currency, do hereby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bidi w:val="0"/>
        <w:spacing w:before="240" w:after="0"/>
        <w:jc w:val="left"/>
        <w:rPr>
          <w:rFonts w:ascii="Times New Roman" w:hAnsi="Times New Roman"/>
          <w:sz w:val="20"/>
        </w:rPr>
      </w:pPr>
      <w:r>
        <w:rPr>
          <w:rFonts w:ascii="Times New Roman" w:hAnsi="Times New Roman"/>
          <w:sz w:val="20"/>
        </w:rPr>
        <w:t xml:space="preserve">2. “U.S. Bank Trust Company, National Association,” Portland, Oregon (Charter No.23412), is a national banking association formed under the laws of the United States and is authorized thereunder to transact the business of banking and ,exercise fiduciary powers on the date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IN TESTIMONY WHEREOF, today, March 27, 2026, I have hereunto .subscribed my name and caused my seal of office to be affixed to these presents at the U.S. Department of the Treasury, in the City of Washington, District of Columbia. </w:t>
      </w:r>
    </w:p>
    <w:p>
      <w:pPr>
        <w:pStyle w:val="TextBody"/>
        <w:bidi w:val="0"/>
        <w:spacing w:before="0" w:after="0"/>
        <w:jc w:val="left"/>
        <w:rPr/>
      </w:pPr>
      <w:r>
        <w:rPr/>
        <w:t> </w:t>
      </w:r>
    </w:p>
    <w:p>
      <w:pPr>
        <w:pStyle w:val="TextBody"/>
        <w:bidi w:val="0"/>
        <w:spacing w:before="0" w:after="0"/>
        <w:jc w:val="center"/>
        <w:rPr/>
      </w:pPr>
      <w:r>
        <w:rPr/>
        <w:drawing>
          <wp:inline distT="0" distB="0" distL="0" distR="0">
            <wp:extent cx="3076575" cy="3390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4"/>
                    <a:stretch>
                      <a:fillRect/>
                    </a:stretch>
                  </pic:blipFill>
                  <pic:spPr bwMode="auto">
                    <a:xfrm>
                      <a:off x="0" y="0"/>
                      <a:ext cx="3076575" cy="3390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2026-00886-C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4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AND RESTATED BYLAWS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w:t>
      </w:r>
    </w:p>
    <w:p>
      <w:pPr>
        <w:pStyle w:val="TextBody"/>
        <w:bidi w:val="0"/>
        <w:spacing w:before="0" w:after="0"/>
        <w:jc w:val="left"/>
        <w:rPr>
          <w:rFonts w:ascii="Times New Roman" w:hAnsi="Times New Roman"/>
          <w:sz w:val="20"/>
        </w:rPr>
      </w:pPr>
      <w:r>
        <w:rPr>
          <w:rFonts w:ascii="Times New Roman" w:hAnsi="Times New Roman"/>
          <w:sz w:val="20"/>
        </w:rPr>
        <w:t xml:space="preserve">Every such special meeting, unless otherwise provided by law, shall be called upon not less than ten (10) days nor more than sixty (60) days prior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Nominations for Directors</w:t>
      </w:r>
      <w:r>
        <w:rPr>
          <w:rFonts w:ascii="Times New Roman" w:hAnsi="Times New Roman"/>
          <w:sz w:val="20"/>
        </w:rPr>
        <w:t xml:space="preserve">. Nominations for election to the Board may be made by the Board or by any shareholder.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Proxies</w:t>
      </w:r>
      <w:r>
        <w:rPr>
          <w:rFonts w:ascii="Times New Roman" w:hAnsi="Times New Roman"/>
          <w:sz w:val="20"/>
        </w:rPr>
        <w:t xml:space="preserve">. Shareholders may vote at any meeting of the shareholders by proxies duly authorized in writing. Proxies shall be valid only for one meeting and any adjournments of such meeting and shall be filed with the records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Record Date</w:t>
      </w:r>
      <w:r>
        <w:rPr>
          <w:rFonts w:ascii="Times New Roman" w:hAnsi="Times New Roman"/>
          <w:sz w:val="20"/>
        </w:rPr>
        <w:t xml:space="preserve">. The record date for determining shareholders entitled to notice and to vote at any meeting will be thirty days before the date of such meeting, unless otherwise determined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Quorum and Voting</w:t>
      </w:r>
      <w:r>
        <w:rPr>
          <w:rFonts w:ascii="Times New Roman" w:hAnsi="Times New Roman"/>
          <w:sz w:val="20"/>
        </w:rPr>
        <w:t xml:space="preserve">.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Inspectors</w:t>
      </w:r>
      <w:r>
        <w:rPr>
          <w:rFonts w:ascii="Times New Roman" w:hAnsi="Times New Roman"/>
          <w:sz w:val="20"/>
        </w:rPr>
        <w:t xml:space="preserve">.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Waiver and Consent</w:t>
      </w:r>
      <w:r>
        <w:rPr>
          <w:rFonts w:ascii="Times New Roman" w:hAnsi="Times New Roman"/>
          <w:sz w:val="20"/>
        </w:rPr>
        <w:t xml:space="preserve">. The shareholders may act without notice or a meeting by a unanimous written consent by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Remote Meetings</w:t>
      </w:r>
      <w:r>
        <w:rPr>
          <w:rFonts w:ascii="Times New Roman" w:hAnsi="Times New Roman"/>
          <w:sz w:val="20"/>
        </w:rPr>
        <w:t xml:space="preserve">. The Board shall have the right to determine that a shareholder meeting not be held at a place, but instead be held solely by means of remote communication in the manner and to the extent permitted by the General Corporation Law of the State of Delaware.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Board of Directors</w:t>
      </w:r>
      <w:r>
        <w:rPr>
          <w:rFonts w:ascii="Times New Roman" w:hAnsi="Times New Roman"/>
          <w:sz w:val="20"/>
        </w:rPr>
        <w:t xml:space="preserve">. The Board shall have the power to manage and administer the business and affairs of the Association. Except as expressly limited by law, all corporate powers of the Association shall be vested in and may be exercised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 of Office</w:t>
      </w:r>
      <w:r>
        <w:rPr>
          <w:rFonts w:ascii="Times New Roman" w:hAnsi="Times New Roman"/>
          <w:sz w:val="20"/>
        </w:rPr>
        <w:t xml:space="preserve">. The directors of this Association shall hold office for one year and until their successors are duly elected and qualified, or until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Powers</w:t>
      </w:r>
      <w:r>
        <w:rPr>
          <w:rFonts w:ascii="Times New Roman" w:hAnsi="Times New Roman"/>
          <w:sz w:val="20"/>
        </w:rPr>
        <w:t xml:space="preserve">. In addition to the foregoing, the Board shall have and may exercise all of the powers granted to or conferred upon it by the Articles of Association, the Bylaws and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Number</w:t>
      </w:r>
      <w:r>
        <w:rPr>
          <w:rFonts w:ascii="Times New Roman" w:hAnsi="Times New Roman"/>
          <w:sz w:val="20"/>
        </w:rPr>
        <w:t xml:space="preserve">.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Organization Meeting</w:t>
      </w:r>
      <w:r>
        <w:rPr>
          <w:rFonts w:ascii="Times New Roman" w:hAnsi="Times New Roman"/>
          <w:sz w:val="20"/>
        </w:rPr>
        <w:t xml:space="preserve">.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Regular Meetings</w:t>
      </w:r>
      <w:r>
        <w:rPr>
          <w:rFonts w:ascii="Times New Roman" w:hAnsi="Times New Roman"/>
          <w:sz w:val="20"/>
        </w:rPr>
        <w:t xml:space="preserve">. The regular meetings of the Board shall be held, without notice, as the Chairman or President may designate and deem suitable.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Special Meetings</w:t>
      </w:r>
      <w:r>
        <w:rPr>
          <w:rFonts w:ascii="Times New Roman" w:hAnsi="Times New Roman"/>
          <w:sz w:val="20"/>
        </w:rPr>
        <w:t xml:space="preserve">.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Quorum and Necessary Vote</w:t>
      </w:r>
      <w:r>
        <w:rPr>
          <w:rFonts w:ascii="Times New Roman" w:hAnsi="Times New Roman"/>
          <w:sz w:val="20"/>
        </w:rPr>
        <w:t xml:space="preserve">.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Written Consent</w:t>
      </w:r>
      <w:r>
        <w:rPr>
          <w:rFonts w:ascii="Times New Roman" w:hAnsi="Times New Roman"/>
          <w:sz w:val="20"/>
        </w:rPr>
        <w:t xml:space="preserve">. Except as otherwise required by applicable laws and regulations, the Board may act without a meeting by a unanimous written consent by all directors, to be filed with the Secretary of the Association as part of the corporate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Remote Meetings</w:t>
      </w:r>
      <w:r>
        <w:rPr>
          <w:rFonts w:ascii="Times New Roman" w:hAnsi="Times New Roman"/>
          <w:sz w:val="20"/>
        </w:rPr>
        <w:t xml:space="preserve">.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Vacancies</w:t>
      </w:r>
      <w:r>
        <w:rPr>
          <w:rFonts w:ascii="Times New Roman" w:hAnsi="Times New Roman"/>
          <w:sz w:val="20"/>
        </w:rPr>
        <w:t xml:space="preserve">. When any vacancy occurs among the directors, the remaining members of the Board may appoint a director to fill such vacancy at any regular meeting of the Board, or at a special meeting called for that purpose.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Advisory Board of Directors</w:t>
      </w:r>
      <w:r>
        <w:rPr>
          <w:rFonts w:ascii="Times New Roman" w:hAnsi="Times New Roman"/>
          <w:sz w:val="20"/>
        </w:rPr>
        <w:t xml:space="preserve">.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Trust Audit Committee</w:t>
      </w:r>
      <w:r>
        <w:rPr>
          <w:rFonts w:ascii="Times New Roman" w:hAnsi="Times New Roman"/>
          <w:sz w:val="20"/>
        </w:rPr>
        <w:t xml:space="preserve">.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financial holding company that is the ultimate parent of this Association, fulfilling the function of the trust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Must not include any officers of the Association or an affiliate who participate significantly in the administration of the Association’s fiduciary activities; and </w:t>
      </w:r>
    </w:p>
    <w:p>
      <w:pPr>
        <w:pStyle w:val="TextBody"/>
        <w:bidi w:val="0"/>
        <w:spacing w:before="120" w:after="0"/>
        <w:jc w:val="left"/>
        <w:rPr>
          <w:rFonts w:ascii="Times New Roman" w:hAnsi="Times New Roman"/>
          <w:sz w:val="20"/>
        </w:rPr>
      </w:pPr>
      <w:r>
        <w:rPr>
          <w:rFonts w:ascii="Times New Roman" w:hAnsi="Times New Roman"/>
          <w:sz w:val="20"/>
        </w:rPr>
        <w:t xml:space="preserve">(2) Must consist of a majority of members who are not also members of any committee to which the Board has delegated power to manage and control the fiduciary activities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Executive Committee</w:t>
      </w:r>
      <w:r>
        <w:rPr>
          <w:rFonts w:ascii="Times New Roman" w:hAnsi="Times New Roman"/>
          <w:sz w:val="20"/>
        </w:rPr>
        <w:t xml:space="preserve">. The Board may appoint an Executive Committee which shall consist of at least three directors and which shall have, and may exercise, to the extent permitted by applicable law, all the powers of the Board between meetings of the Board or otherwise when the Board is not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Trust Management Committee</w:t>
      </w:r>
      <w:r>
        <w:rPr>
          <w:rFonts w:ascii="Times New Roman" w:hAnsi="Times New Roman"/>
          <w:sz w:val="20"/>
        </w:rPr>
        <w:t xml:space="preserve">.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Other Committees</w:t>
      </w:r>
      <w:r>
        <w:rPr>
          <w:rFonts w:ascii="Times New Roman" w:hAnsi="Times New Roman"/>
          <w:sz w:val="20"/>
        </w:rPr>
        <w:t xml:space="preserve">.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Meetings, Minutes and Rules</w:t>
      </w:r>
      <w:r>
        <w:rPr>
          <w:rFonts w:ascii="Times New Roman" w:hAnsi="Times New Roman"/>
          <w:sz w:val="20"/>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Section 4.1 Who Shall Constitut</w:t>
      </w:r>
      <w:r>
        <w:rPr>
          <w:rFonts w:ascii="Times New Roman" w:hAnsi="Times New Roman"/>
          <w:sz w:val="20"/>
          <w:u w:val="single"/>
        </w:rPr>
        <w:t xml:space="preserve">e. </w:t>
      </w:r>
      <w:r>
        <w:rPr>
          <w:rFonts w:ascii="Times New Roman" w:hAnsi="Times New Roman"/>
          <w:sz w:val="20"/>
        </w:rPr>
        <w:t xml:space="preserve">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Section 4.2 Term of Offic</w:t>
      </w:r>
      <w:r>
        <w:rPr>
          <w:rFonts w:ascii="Times New Roman" w:hAnsi="Times New Roman"/>
          <w:sz w:val="20"/>
          <w:u w:val="single"/>
        </w:rPr>
        <w:t xml:space="preserve">e. </w:t>
      </w:r>
      <w:r>
        <w:rPr>
          <w:rFonts w:ascii="Times New Roman" w:hAnsi="Times New Roman"/>
          <w:sz w:val="20"/>
        </w:rPr>
        <w:t xml:space="preserve">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Chairman of the Board</w:t>
      </w:r>
      <w:r>
        <w:rPr>
          <w:rFonts w:ascii="Times New Roman" w:hAnsi="Times New Roman"/>
          <w:sz w:val="20"/>
        </w:rPr>
        <w:t xml:space="preserve">.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President</w:t>
      </w:r>
      <w:r>
        <w:rPr>
          <w:rFonts w:ascii="Times New Roman" w:hAnsi="Times New Roman"/>
          <w:sz w:val="20"/>
        </w:rPr>
        <w:t xml:space="preserve">.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Vice President</w:t>
      </w:r>
      <w:r>
        <w:rPr>
          <w:rFonts w:ascii="Times New Roman" w:hAnsi="Times New Roman"/>
          <w:sz w:val="20"/>
        </w:rPr>
        <w:t xml:space="preserve">.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Secretary</w:t>
      </w:r>
      <w:r>
        <w:rPr>
          <w:rFonts w:ascii="Times New Roman" w:hAnsi="Times New Roman"/>
          <w:sz w:val="20"/>
        </w:rPr>
        <w:t xml:space="preserve">.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Other Officers</w:t>
      </w:r>
      <w:r>
        <w:rPr>
          <w:rFonts w:ascii="Times New Roman" w:hAnsi="Times New Roman"/>
          <w:sz w:val="20"/>
        </w:rPr>
        <w:t xml:space="preserve">. The Board may appoint, and may authorize the Chairman, the President or any other officer to appoint, any officer as from time to time may appear to the Board, the Chairman, the President or such other officer to be required or desirable to transact the business of the Association. </w:t>
      </w:r>
    </w:p>
    <w:p>
      <w:pPr>
        <w:pStyle w:val="TextBody"/>
        <w:bidi w:val="0"/>
        <w:spacing w:before="0" w:after="0"/>
        <w:jc w:val="left"/>
        <w:rPr>
          <w:rFonts w:ascii="Times New Roman" w:hAnsi="Times New Roman"/>
          <w:sz w:val="20"/>
        </w:rPr>
      </w:pPr>
      <w:r>
        <w:rPr>
          <w:rFonts w:ascii="Times New Roman" w:hAnsi="Times New Roman"/>
          <w:sz w:val="20"/>
        </w:rPr>
        <w:t xml:space="preserve">Such officers shall exercise such powers and perform such duties as pertain to their several offices, or as may be conferred upon or assigned to them by these Bylaws, the Board, the Chairman, the President or such other authorized officer. Any person may hold two offices.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Execution of Instruments</w:t>
      </w:r>
      <w:r>
        <w:rPr>
          <w:rFonts w:ascii="Times New Roman" w:hAnsi="Times New Roman"/>
          <w:sz w:val="20"/>
        </w:rPr>
        <w:t xml:space="preserve">.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Records</w:t>
      </w:r>
      <w:r>
        <w:rPr>
          <w:rFonts w:ascii="Times New Roman" w:hAnsi="Times New Roman"/>
          <w:sz w:val="20"/>
        </w:rPr>
        <w:t xml:space="preserve">.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Trust Files</w:t>
      </w:r>
      <w:r>
        <w:rPr>
          <w:rFonts w:ascii="Times New Roman" w:hAnsi="Times New Roman"/>
          <w:sz w:val="20"/>
        </w:rPr>
        <w:t xml:space="preserve">. There shall be maintained in the Association files all fiduciary records necessary to assure that its fiduciary responsibilities have been properly undertaken and discharged.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 Investments</w:t>
      </w:r>
      <w:r>
        <w:rPr>
          <w:rFonts w:ascii="Times New Roman" w:hAnsi="Times New Roman"/>
          <w:sz w:val="20"/>
        </w:rPr>
        <w:t xml:space="preserve">.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w:t>
      </w:r>
      <w:r>
        <w:rPr>
          <w:rFonts w:ascii="Times New Roman" w:hAnsi="Times New Roman"/>
          <w:sz w:val="20"/>
        </w:rPr>
        <w:t xml:space="preserve">.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0" w:after="0"/>
        <w:jc w:val="left"/>
        <w:rPr>
          <w:rFonts w:ascii="Times New Roman" w:hAnsi="Times New Roman"/>
          <w:sz w:val="20"/>
        </w:rPr>
      </w:pPr>
      <w:r>
        <w:rPr>
          <w:rFonts w:ascii="Times New Roman" w:hAnsi="Times New Roman"/>
          <w:sz w:val="20"/>
        </w:rPr>
        <w:t xml:space="preserve">Except where specified otherwise in these Bylaws, prior notice shall be proper if given not more than 30 days nor less than 10 days prior to the event for which notice is given.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 </w:t>
      </w:r>
    </w:p>
    <w:p>
      <w:pPr>
        <w:pStyle w:val="TextBody"/>
        <w:bidi w:val="0"/>
        <w:spacing w:before="240" w:after="0"/>
        <w:jc w:val="left"/>
        <w:rPr>
          <w:rFonts w:ascii="Times New Roman" w:hAnsi="Times New Roman"/>
          <w:sz w:val="20"/>
        </w:rPr>
      </w:pPr>
      <w:r>
        <w:rPr>
          <w:rFonts w:ascii="Times New Roman" w:hAnsi="Times New Roman"/>
          <w:sz w:val="20"/>
        </w:rPr>
        <w:t xml:space="preserve">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Bylaws: Interpretation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9.1. These Bylaws shall be interpreted in accordance with and subject to appropriate provisions of law, and may be added to, altered, amended, or repealed, at any regular or special meeting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9.2. A copy of the Bylaws and all amendments shall at all times be kept in a convenient place at the principal office of the Association, and shall be open for inspection to all shareholders during Association hours.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Fiscal Year</w:t>
      </w:r>
      <w:r>
        <w:rPr>
          <w:rFonts w:ascii="Times New Roman" w:hAnsi="Times New Roman"/>
          <w:sz w:val="20"/>
        </w:rPr>
        <w:t xml:space="preserve">. The fiscal year of the Association shall begin on the first day of January in each year and shall end on the thirty-first day of December following.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w:t>
      </w:r>
      <w:r>
        <w:rPr>
          <w:rFonts w:ascii="Times New Roman" w:hAnsi="Times New Roman"/>
          <w:sz w:val="20"/>
        </w:rPr>
        <w:t xml:space="preserve">. This Association designates the Delaware General Corporation Law, as amended from time to time, as the governing law for its corporate governance procedures, to the extent not inconsistent with Federal banking statutes and regulations or bank safety and soundness.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(November 6,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1"/>
        <w:gridCol w:w="101"/>
        <w:gridCol w:w="407"/>
        <w:gridCol w:w="101"/>
        <w:gridCol w:w="306"/>
        <w:gridCol w:w="101"/>
        <w:gridCol w:w="4598"/>
      </w:tblGrid>
      <w:tr>
        <w:trPr/>
        <w:tc>
          <w:tcPr>
            <w:tcW w:w="459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pPr>
            <w:r>
              <w:rPr/>
              <w:t>Dated: July 28,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Adina Casper</w:t>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Adina Casper</w:t>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as of 3/31/2026 </w:t>
      </w:r>
    </w:p>
    <w:p>
      <w:pPr>
        <w:pStyle w:val="TextBody"/>
        <w:bidi w:val="0"/>
        <w:spacing w:before="240" w:after="0"/>
        <w:jc w:val="center"/>
        <w:rPr>
          <w:rFonts w:ascii="Times New Roman" w:hAnsi="Times New Roman"/>
          <w:b/>
          <w:sz w:val="20"/>
        </w:rPr>
      </w:pPr>
      <w:r>
        <w:rPr>
          <w:rFonts w:ascii="Times New Roman" w:hAnsi="Times New Roman"/>
          <w:b/>
          <w:sz w:val="20"/>
        </w:rPr>
        <w:t xml:space="preserve">($000’s)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8"/>
        <w:gridCol w:w="246"/>
        <w:gridCol w:w="140"/>
        <w:gridCol w:w="1009"/>
        <w:gridCol w:w="62"/>
      </w:tblGrid>
      <w:tr>
        <w:trPr/>
        <w:tc>
          <w:tcPr>
            <w:tcW w:w="8748"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4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3/31/2026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2,159,991</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Depository Institutions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4,683</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Loans &amp; Lease Financing Receivables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534</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573,596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160,011</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2,898,815</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 Funds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Treasury Demand Notes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Acceptances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221,704</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221,704</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Common and Preferred Stock</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200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1,171,635</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Undivided Profits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1,505,276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Minority Interest in Subsidiaries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2,677,111</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2,898,815</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28" w:name="d137141dex252.htm"/>
      <w:bookmarkStart w:id="29" w:name="ksd137141dex252"/>
      <w:bookmarkEnd w:id="28"/>
      <w:bookmarkEnd w:id="29"/>
      <w:r>
        <w:rPr>
          <w:rFonts w:ascii="Times New Roman" w:hAnsi="Times New Roman"/>
          <w:b/>
          <w:sz w:val="20"/>
        </w:rPr>
        <w:t xml:space="preserve">Exhibit 25.2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20"/>
        </w:rPr>
        <w:t>SECURITIES</w:t>
      </w:r>
      <w:r>
        <w:rPr>
          <w:rFonts w:ascii="Times New Roman" w:hAnsi="Times New Roman"/>
          <w:b/>
          <w:sz w:val="36"/>
        </w:rPr>
        <w:t xml:space="preserve"> </w:t>
      </w:r>
      <w:r>
        <w:rPr>
          <w:rFonts w:ascii="Times New Roman" w:hAnsi="Times New Roman"/>
          <w:b/>
          <w:sz w:val="20"/>
        </w:rPr>
        <w:t>AND</w:t>
      </w:r>
      <w:r>
        <w:rPr>
          <w:rFonts w:ascii="Times New Roman" w:hAnsi="Times New Roman"/>
          <w:b/>
          <w:sz w:val="36"/>
        </w:rPr>
        <w:t xml:space="preserve"> </w:t>
      </w:r>
      <w:r>
        <w:rPr>
          <w:rFonts w:ascii="Times New Roman" w:hAnsi="Times New Roman"/>
          <w:b/>
          <w:sz w:val="20"/>
        </w:rPr>
        <w:t>EXCHANGE</w:t>
      </w:r>
      <w:r>
        <w:rPr>
          <w:rFonts w:ascii="Times New Roman" w:hAnsi="Times New Roman"/>
          <w:b/>
          <w:sz w:val="36"/>
        </w:rPr>
        <w:t xml:space="preserve"> </w:t>
      </w:r>
      <w:r>
        <w:rPr>
          <w:rFonts w:ascii="Times New Roman" w:hAnsi="Times New Roman"/>
          <w:b/>
          <w:sz w:val="20"/>
        </w:rPr>
        <w:t>COMMISSION</w:t>
      </w:r>
      <w:r>
        <w:rPr>
          <w:rFonts w:ascii="Times New Roman" w:hAnsi="Times New Roman"/>
          <w:b/>
          <w:sz w:val="36"/>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91-1821036 </w:t>
      </w:r>
    </w:p>
    <w:p>
      <w:pPr>
        <w:pStyle w:val="TextBody"/>
        <w:bidi w:val="0"/>
        <w:spacing w:before="0" w:after="0"/>
        <w:jc w:val="center"/>
        <w:rPr>
          <w:rFonts w:ascii="Times New Roman" w:hAnsi="Times New Roman"/>
          <w:b/>
          <w:sz w:val="20"/>
        </w:rPr>
      </w:pPr>
      <w:r>
        <w:rPr>
          <w:rFonts w:ascii="Times New Roman" w:hAnsi="Times New Roman"/>
          <w:b/>
          <w:sz w:val="20"/>
        </w:rPr>
        <w:t xml:space="preserve">I.R.S. Employer Identification No.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200 South 6th Street</w:t>
            </w:r>
          </w:p>
          <w:p>
            <w:pPr>
              <w:pStyle w:val="TableContents"/>
              <w:bidi w:val="0"/>
              <w:spacing w:before="0" w:after="20"/>
              <w:jc w:val="center"/>
              <w:rPr>
                <w:rFonts w:ascii="Times New Roman" w:hAnsi="Times New Roman"/>
                <w:b/>
                <w:sz w:val="20"/>
              </w:rPr>
            </w:pPr>
            <w:r>
              <w:rPr>
                <w:rFonts w:ascii="Times New Roman" w:hAnsi="Times New Roman"/>
                <w:b/>
                <w:sz w:val="20"/>
              </w:rPr>
              <w:t>Minneapolis, Minnesota</w:t>
            </w:r>
          </w:p>
        </w:tc>
        <w:tc>
          <w:tcPr>
            <w:tcW w:w="101" w:type="dxa"/>
            <w:tcBorders/>
            <w:vAlign w:val="bottom"/>
          </w:tcPr>
          <w:p>
            <w:pPr>
              <w:pStyle w:val="TableContents"/>
              <w:bidi w:val="0"/>
              <w:spacing w:before="0" w:after="283"/>
              <w:jc w:val="left"/>
              <w:rPr/>
            </w:pPr>
            <w:r>
              <w:rPr/>
              <w:t> </w:t>
            </w:r>
          </w:p>
        </w:tc>
        <w:tc>
          <w:tcPr>
            <w:tcW w:w="4950" w:type="dxa"/>
            <w:tcBorders/>
            <w:vAlign w:val="bottom"/>
          </w:tcPr>
          <w:p>
            <w:pPr>
              <w:pStyle w:val="TableContents"/>
              <w:bidi w:val="0"/>
              <w:spacing w:before="0" w:after="283"/>
              <w:jc w:val="center"/>
              <w:rPr>
                <w:b/>
              </w:rPr>
            </w:pPr>
            <w:r>
              <w:rPr>
                <w:b/>
              </w:rPr>
              <w:t>55402</w:t>
            </w:r>
          </w:p>
        </w:tc>
      </w:tr>
      <w:tr>
        <w:trPr/>
        <w:tc>
          <w:tcPr>
            <w:tcW w:w="5154"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Adina Casper </w:t>
      </w:r>
    </w:p>
    <w:p>
      <w:pPr>
        <w:pStyle w:val="TextBody"/>
        <w:bidi w:val="0"/>
        <w:spacing w:before="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333 Thornall St., 4th Fl </w:t>
      </w:r>
    </w:p>
    <w:p>
      <w:pPr>
        <w:pStyle w:val="TextBody"/>
        <w:bidi w:val="0"/>
        <w:spacing w:before="0" w:after="0"/>
        <w:jc w:val="center"/>
        <w:rPr>
          <w:rFonts w:ascii="Times New Roman" w:hAnsi="Times New Roman"/>
          <w:b/>
          <w:sz w:val="20"/>
        </w:rPr>
      </w:pPr>
      <w:r>
        <w:rPr>
          <w:rFonts w:ascii="Times New Roman" w:hAnsi="Times New Roman"/>
          <w:b/>
          <w:sz w:val="20"/>
        </w:rPr>
        <w:t xml:space="preserve">Edison, NJ 08837 </w:t>
      </w:r>
    </w:p>
    <w:p>
      <w:pPr>
        <w:pStyle w:val="TextBody"/>
        <w:bidi w:val="0"/>
        <w:spacing w:before="0" w:after="0"/>
        <w:jc w:val="center"/>
        <w:rPr>
          <w:rFonts w:ascii="Times New Roman" w:hAnsi="Times New Roman"/>
          <w:b/>
          <w:sz w:val="20"/>
        </w:rPr>
      </w:pPr>
      <w:r>
        <w:rPr>
          <w:rFonts w:ascii="Times New Roman" w:hAnsi="Times New Roman"/>
          <w:b/>
          <w:sz w:val="20"/>
        </w:rPr>
        <w:t xml:space="preserve">732-321-3956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Campbell’s Company </w:t>
      </w:r>
    </w:p>
    <w:p>
      <w:pPr>
        <w:pStyle w:val="TextBody"/>
        <w:bidi w:val="0"/>
        <w:spacing w:before="0" w:after="0"/>
        <w:jc w:val="center"/>
        <w:rPr>
          <w:rFonts w:ascii="Times New Roman" w:hAnsi="Times New Roman"/>
          <w:b/>
          <w:sz w:val="16"/>
        </w:rPr>
      </w:pPr>
      <w:r>
        <w:rPr>
          <w:rFonts w:ascii="Times New Roman" w:hAnsi="Times New Roman"/>
          <w:b/>
          <w:sz w:val="16"/>
        </w:rPr>
        <w:t xml:space="preserve">(Issuer with respect to the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New Jersey</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21-0419870</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Campbell Place</w:t>
            </w:r>
          </w:p>
          <w:p>
            <w:pPr>
              <w:pStyle w:val="TableContents"/>
              <w:bidi w:val="0"/>
              <w:spacing w:before="0" w:after="20"/>
              <w:jc w:val="center"/>
              <w:rPr>
                <w:rFonts w:ascii="Times New Roman" w:hAnsi="Times New Roman"/>
                <w:b/>
                <w:sz w:val="20"/>
              </w:rPr>
            </w:pPr>
            <w:r>
              <w:rPr>
                <w:rFonts w:ascii="Times New Roman" w:hAnsi="Times New Roman"/>
                <w:b/>
                <w:sz w:val="20"/>
              </w:rPr>
              <w:t>Camden, NJ</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08103-1799</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Comptroller of the Currency </w:t>
      </w:r>
    </w:p>
    <w:p>
      <w:pPr>
        <w:pStyle w:val="TextBody"/>
        <w:bidi w:val="0"/>
        <w:spacing w:before="0" w:after="0"/>
        <w:jc w:val="left"/>
        <w:rPr>
          <w:rFonts w:ascii="Times New Roman" w:hAnsi="Times New Roman"/>
          <w:sz w:val="20"/>
        </w:rPr>
      </w:pPr>
      <w:r>
        <w:rPr>
          <w:rFonts w:ascii="Times New Roman" w:hAnsi="Times New Roman"/>
          <w:sz w:val="20"/>
        </w:rPr>
        <w:t xml:space="preserve">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Whether it is authorized to exercise corporate trust powers.</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AFFILIATIONS WITH THE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Items 3-15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 xml:space="preserve">List below all exhibits filed as a part of this statement of eligibility and qualification.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Trustee, attached as Exhibit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included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attached as Exhibit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of Condition of the Trustee as of March 31, 2026, published pursuant to law or the requirements of its supervising or examining authority, attached as Exhibit 7.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Township of Edison, State of New Jersey on the 28th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Adina Casper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Adina Casper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Vice President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U. 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(the “Association”) to perform any lawful activities of national banks, the undersigned enter into the following Articles of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FIRST. </w:t>
      </w:r>
      <w:r>
        <w:rPr>
          <w:rFonts w:ascii="Times New Roman" w:hAnsi="Times New Roman"/>
          <w:sz w:val="20"/>
        </w:rPr>
        <w:t xml:space="preserve">The title of this Association shall be U. S. Bank Trust Company, National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9"/>
        <w:gridCol w:w="126"/>
        <w:gridCol w:w="3194"/>
        <w:gridCol w:w="126"/>
        <w:gridCol w:w="3320"/>
      </w:tblGrid>
      <w:tr>
        <w:trPr/>
        <w:tc>
          <w:tcPr>
            <w:tcW w:w="34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3439"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- 1 -</w:t>
            </w:r>
          </w:p>
        </w:tc>
        <w:tc>
          <w:tcPr>
            <w:tcW w:w="126"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right"/>
              <w:rPr>
                <w:b/>
              </w:rPr>
            </w:pPr>
            <w:r>
              <w:rPr>
                <w:b/>
              </w:rPr>
              <w:t>80000-383/060297/XBB02E85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 </w:t>
      </w:r>
    </w:p>
    <w:p>
      <w:pPr>
        <w:pStyle w:val="TextBody"/>
        <w:bidi w:val="0"/>
        <w:spacing w:before="24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the Association’s stock are subject to the prior written approval of a federal depository institution regulatory agency. If no other agency approval is required, the approval of the Comptroller of the Currency must be obtained prior to any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9"/>
        <w:gridCol w:w="126"/>
        <w:gridCol w:w="3194"/>
        <w:gridCol w:w="126"/>
        <w:gridCol w:w="3320"/>
      </w:tblGrid>
      <w:tr>
        <w:trPr/>
        <w:tc>
          <w:tcPr>
            <w:tcW w:w="34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3439"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- 2 -</w:t>
            </w:r>
          </w:p>
        </w:tc>
        <w:tc>
          <w:tcPr>
            <w:tcW w:w="126"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right"/>
              <w:rPr>
                <w:b/>
              </w:rPr>
            </w:pPr>
            <w:r>
              <w:rPr>
                <w:b/>
              </w:rPr>
              <w:t>80000-383/060297/XBB02B85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Articles of Association or required by law, all shares of voting stock shall be voted together as a class, on any matters requiring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 xml:space="preserve">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9"/>
        <w:gridCol w:w="126"/>
        <w:gridCol w:w="3194"/>
        <w:gridCol w:w="126"/>
        <w:gridCol w:w="3320"/>
      </w:tblGrid>
      <w:tr>
        <w:trPr/>
        <w:tc>
          <w:tcPr>
            <w:tcW w:w="34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3439"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- 3 -</w:t>
            </w:r>
          </w:p>
        </w:tc>
        <w:tc>
          <w:tcPr>
            <w:tcW w:w="126"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right"/>
              <w:rPr>
                <w:b/>
              </w:rPr>
            </w:pPr>
            <w:r>
              <w:rPr>
                <w:b/>
              </w:rPr>
              <w:t>80000-383/060297/XBB02E85</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 xml:space="preserve">EIGHTH. </w:t>
      </w:r>
      <w:r>
        <w:rPr>
          <w:rFonts w:ascii="Times New Roman" w:hAnsi="Times New Roman"/>
          <w:sz w:val="20"/>
        </w:rPr>
        <w:t xml:space="preserve">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NINTH. </w:t>
      </w:r>
      <w:r>
        <w:rPr>
          <w:rFonts w:ascii="Times New Roman" w:hAnsi="Times New Roman"/>
          <w:sz w:val="20"/>
        </w:rPr>
        <w:t xml:space="preserve">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TENTH. </w:t>
      </w:r>
      <w:r>
        <w:rPr>
          <w:rFonts w:ascii="Times New Roman" w:hAnsi="Times New Roman"/>
          <w:sz w:val="20"/>
        </w:rPr>
        <w:t xml:space="preserve">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0"/>
        <w:gridCol w:w="3203"/>
        <w:gridCol w:w="120"/>
        <w:gridCol w:w="3299"/>
      </w:tblGrid>
      <w:tr>
        <w:trPr/>
        <w:tc>
          <w:tcPr>
            <w:tcW w:w="34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0"/>
              <w:jc w:val="left"/>
              <w:rPr>
                <w:rFonts w:ascii="Times New Roman" w:hAnsi="Times New Roman"/>
                <w:sz w:val="20"/>
              </w:rPr>
            </w:pPr>
            <w:r>
              <w:rPr>
                <w:rFonts w:ascii="Times New Roman" w:hAnsi="Times New Roman"/>
                <w:sz w:val="20"/>
              </w:rPr>
              <w:t>- 4 -</w:t>
            </w:r>
          </w:p>
        </w:tc>
        <w:tc>
          <w:tcPr>
            <w:tcW w:w="12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right"/>
              <w:rPr>
                <w:b/>
              </w:rPr>
            </w:pPr>
            <w:r>
              <w:rPr>
                <w:b/>
              </w:rPr>
              <w:t>80000-383/06fY297/XBBfY2E85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we have hereunto set our hands this 11th of June, 1997.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T. Grubb</w:t>
            </w:r>
          </w:p>
        </w:tc>
      </w:tr>
      <w:tr>
        <w:trPr/>
        <w:tc>
          <w:tcPr>
            <w:tcW w:w="4082" w:type="dxa"/>
            <w:tcBorders/>
          </w:tcPr>
          <w:p>
            <w:pPr>
              <w:pStyle w:val="TableContents"/>
              <w:bidi w:val="0"/>
              <w:spacing w:before="0" w:after="283"/>
              <w:jc w:val="left"/>
              <w:rPr/>
            </w:pPr>
            <w:r>
              <w:rPr/>
              <w:t>Jeffrey T. Grubb</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D. Sznewajs</w:t>
            </w:r>
          </w:p>
        </w:tc>
      </w:tr>
      <w:tr>
        <w:trPr/>
        <w:tc>
          <w:tcPr>
            <w:tcW w:w="4082" w:type="dxa"/>
            <w:tcBorders/>
          </w:tcPr>
          <w:p>
            <w:pPr>
              <w:pStyle w:val="TableContents"/>
              <w:bidi w:val="0"/>
              <w:spacing w:before="0" w:after="283"/>
              <w:jc w:val="left"/>
              <w:rPr/>
            </w:pPr>
            <w:r>
              <w:rPr/>
              <w:t>Robert D. Sznewajs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Dwight V. Board</w:t>
            </w:r>
          </w:p>
        </w:tc>
      </w:tr>
      <w:tr>
        <w:trPr/>
        <w:tc>
          <w:tcPr>
            <w:tcW w:w="4082" w:type="dxa"/>
            <w:tcBorders/>
          </w:tcPr>
          <w:p>
            <w:pPr>
              <w:pStyle w:val="TableContents"/>
              <w:bidi w:val="0"/>
              <w:spacing w:before="0" w:after="283"/>
              <w:jc w:val="left"/>
              <w:rPr/>
            </w:pPr>
            <w:r>
              <w:rPr/>
              <w:t>Dwight V.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 K. Chatterjee</w:t>
            </w:r>
          </w:p>
        </w:tc>
      </w:tr>
      <w:tr>
        <w:trPr/>
        <w:tc>
          <w:tcPr>
            <w:tcW w:w="4082" w:type="dxa"/>
            <w:tcBorders/>
          </w:tcPr>
          <w:p>
            <w:pPr>
              <w:pStyle w:val="TableContents"/>
              <w:bidi w:val="0"/>
              <w:spacing w:before="0" w:after="283"/>
              <w:jc w:val="left"/>
              <w:rPr/>
            </w:pPr>
            <w:r>
              <w:rPr/>
              <w:t>P. K. Chatterjee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Lane</w:t>
            </w:r>
          </w:p>
        </w:tc>
      </w:tr>
      <w:tr>
        <w:trPr/>
        <w:tc>
          <w:tcPr>
            <w:tcW w:w="4082" w:type="dxa"/>
            <w:tcBorders/>
          </w:tcPr>
          <w:p>
            <w:pPr>
              <w:pStyle w:val="TableContents"/>
              <w:bidi w:val="0"/>
              <w:spacing w:before="0" w:after="283"/>
              <w:jc w:val="left"/>
              <w:rPr/>
            </w:pPr>
            <w:r>
              <w:rPr/>
              <w:t>Robert Lane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7"/>
        <w:gridCol w:w="121"/>
        <w:gridCol w:w="4506"/>
        <w:gridCol w:w="121"/>
        <w:gridCol w:w="4620"/>
      </w:tblGrid>
      <w:tr>
        <w:trPr/>
        <w:tc>
          <w:tcPr>
            <w:tcW w:w="8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20" w:type="dxa"/>
            <w:tcBorders/>
            <w:vAlign w:val="center"/>
          </w:tcPr>
          <w:p>
            <w:pPr>
              <w:pStyle w:val="TableContents"/>
              <w:bidi w:val="0"/>
              <w:spacing w:before="0" w:after="283"/>
              <w:jc w:val="left"/>
              <w:rPr>
                <w:sz w:val="4"/>
                <w:szCs w:val="4"/>
              </w:rPr>
            </w:pPr>
            <w:r>
              <w:rPr>
                <w:sz w:val="4"/>
                <w:szCs w:val="4"/>
              </w:rPr>
            </w:r>
          </w:p>
        </w:tc>
      </w:tr>
      <w:tr>
        <w:trPr/>
        <w:tc>
          <w:tcPr>
            <w:tcW w:w="837" w:type="dxa"/>
            <w:tcBorders/>
          </w:tcPr>
          <w:p>
            <w:pPr>
              <w:pStyle w:val="TableContents"/>
              <w:bidi w:val="0"/>
              <w:spacing w:before="0" w:after="283"/>
              <w:jc w:val="left"/>
              <w:rPr/>
            </w:pPr>
            <w:r>
              <w:rPr/>
              <w:drawing>
                <wp:inline distT="0" distB="0" distL="0" distR="0">
                  <wp:extent cx="485775"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5"/>
                          <a:stretch>
                            <a:fillRect/>
                          </a:stretch>
                        </pic:blipFill>
                        <pic:spPr bwMode="auto">
                          <a:xfrm>
                            <a:off x="0" y="0"/>
                            <a:ext cx="485775" cy="4953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924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Office of the Comptroller of the Currency</w:t>
            </w:r>
          </w:p>
          <w:p>
            <w:pPr>
              <w:pStyle w:val="TableContents"/>
              <w:pBdr>
                <w:bottom w:val="single" w:sz="2" w:space="1" w:color="000000"/>
              </w:pBdr>
              <w:bidi w:val="0"/>
              <w:spacing w:before="0" w:after="20"/>
              <w:jc w:val="left"/>
              <w:rPr/>
            </w:pPr>
            <w:r>
              <w:rPr/>
              <w:t> </w:t>
            </w:r>
          </w:p>
        </w:tc>
      </w:tr>
      <w:tr>
        <w:trPr/>
        <w:tc>
          <w:tcPr>
            <w:tcW w:w="8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20" w:type="dxa"/>
            <w:tcBorders/>
          </w:tcPr>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Washington, DC 20219</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CERTIFICATE OF CORPORATE EXISTENCE AND FIDUCIARY POWERS </w:t>
      </w:r>
    </w:p>
    <w:p>
      <w:pPr>
        <w:pStyle w:val="TextBody"/>
        <w:bidi w:val="0"/>
        <w:spacing w:before="120" w:after="0"/>
        <w:jc w:val="left"/>
        <w:rPr>
          <w:rFonts w:ascii="Times New Roman" w:hAnsi="Times New Roman"/>
          <w:sz w:val="20"/>
        </w:rPr>
      </w:pPr>
      <w:r>
        <w:rPr>
          <w:rFonts w:ascii="Times New Roman" w:hAnsi="Times New Roman"/>
          <w:sz w:val="20"/>
        </w:rPr>
        <w:t xml:space="preserve">I,Jonathan Gould, Comptroller of the Currency, do hereby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bidi w:val="0"/>
        <w:spacing w:before="120" w:after="0"/>
        <w:jc w:val="left"/>
        <w:rPr>
          <w:rFonts w:ascii="Times New Roman" w:hAnsi="Times New Roman"/>
          <w:sz w:val="20"/>
        </w:rPr>
      </w:pPr>
      <w:r>
        <w:rPr>
          <w:rFonts w:ascii="Times New Roman" w:hAnsi="Times New Roman"/>
          <w:sz w:val="20"/>
        </w:rPr>
        <w:t xml:space="preserve">2. “U.S. Bank Trust Company, National Association,” Portland. Oregon (Charter No. 23412), is a national banking association formed under the laws of the United States and is authorized thereunder to transact the business of banking and exercise fiduciary powers on the date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IN TESTIMONY WHEREOF, today, March.27, 2026, I have hereunto subscribed my name and caused my seal of office to be affixed to these presents at the U.S. Department of the Treasury, in the City of Washington, District of Columbia. </w:t>
      </w:r>
    </w:p>
    <w:p>
      <w:pPr>
        <w:pStyle w:val="TextBody"/>
        <w:bidi w:val="0"/>
        <w:spacing w:before="0" w:after="0"/>
        <w:jc w:val="left"/>
        <w:rPr/>
      </w:pPr>
      <w:r>
        <w:rPr/>
        <w:t> </w:t>
      </w:r>
    </w:p>
    <w:p>
      <w:pPr>
        <w:pStyle w:val="TextBody"/>
        <w:bidi w:val="0"/>
        <w:spacing w:before="0" w:after="0"/>
        <w:jc w:val="center"/>
        <w:rPr/>
      </w:pPr>
      <w:r>
        <w:rPr/>
        <w:drawing>
          <wp:inline distT="0" distB="0" distL="0" distR="0">
            <wp:extent cx="3076575" cy="3390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6"/>
                    <a:stretch>
                      <a:fillRect/>
                    </a:stretch>
                  </pic:blipFill>
                  <pic:spPr bwMode="auto">
                    <a:xfrm>
                      <a:off x="0" y="0"/>
                      <a:ext cx="3076575" cy="3390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2026-00886-C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4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AND RESTATED BYLAWS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Nominations for Directors</w:t>
      </w:r>
      <w:r>
        <w:rPr>
          <w:rFonts w:ascii="Times New Roman" w:hAnsi="Times New Roman"/>
          <w:sz w:val="20"/>
        </w:rPr>
        <w:t xml:space="preserve">. Nominations for election to the Board may be made by the Board or by any shareholder.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Proxies</w:t>
      </w:r>
      <w:r>
        <w:rPr>
          <w:rFonts w:ascii="Times New Roman" w:hAnsi="Times New Roman"/>
          <w:sz w:val="20"/>
        </w:rPr>
        <w:t xml:space="preserve">. Shareholders may vote at any meeting of the shareholders by proxies duly authorized in writing. Proxies shall be valid only for one meeting and any adjournments of such meeting and shall be filed with the records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Record Date</w:t>
      </w:r>
      <w:r>
        <w:rPr>
          <w:rFonts w:ascii="Times New Roman" w:hAnsi="Times New Roman"/>
          <w:sz w:val="20"/>
        </w:rPr>
        <w:t xml:space="preserve">. The record date for determining shareholders entitled to notice and to vote at any meeting will be thirty days before the date of such meeting, unless otherwise determined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Quorum and Voting</w:t>
      </w:r>
      <w:r>
        <w:rPr>
          <w:rFonts w:ascii="Times New Roman" w:hAnsi="Times New Roman"/>
          <w:sz w:val="20"/>
        </w:rPr>
        <w:t xml:space="preserve">.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Inspectors</w:t>
      </w:r>
      <w:r>
        <w:rPr>
          <w:rFonts w:ascii="Times New Roman" w:hAnsi="Times New Roman"/>
          <w:sz w:val="20"/>
        </w:rPr>
        <w:t xml:space="preserve">.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Waiver and Consent</w:t>
      </w:r>
      <w:r>
        <w:rPr>
          <w:rFonts w:ascii="Times New Roman" w:hAnsi="Times New Roman"/>
          <w:sz w:val="20"/>
        </w:rPr>
        <w:t xml:space="preserve">. The shareholders may act without notice or a meeting by a unanimous written consent by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Remote Meetings</w:t>
      </w:r>
      <w:r>
        <w:rPr>
          <w:rFonts w:ascii="Times New Roman" w:hAnsi="Times New Roman"/>
          <w:sz w:val="20"/>
        </w:rPr>
        <w:t xml:space="preserve">. The Board shall have the right to determine that a shareholder meeting not be held at a place, but instead be held solely by means of remote communication in the manner and to the extent permitted by the General Corporation Law of the State of Delaware.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Board of Directors</w:t>
      </w:r>
      <w:r>
        <w:rPr>
          <w:rFonts w:ascii="Times New Roman" w:hAnsi="Times New Roman"/>
          <w:sz w:val="20"/>
        </w:rPr>
        <w:t xml:space="preserve">. The Board shall have the power to manage and administer the business and affairs of the Association. Except as expressly limited by law, all corporate powers of the Association shall be vested in and may be exercised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 of Office</w:t>
      </w:r>
      <w:r>
        <w:rPr>
          <w:rFonts w:ascii="Times New Roman" w:hAnsi="Times New Roman"/>
          <w:sz w:val="20"/>
        </w:rPr>
        <w:t xml:space="preserve">. The directors of this Association shall hold office for one year and until their successors are duly elected and qualified, or until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Powers</w:t>
      </w:r>
      <w:r>
        <w:rPr>
          <w:rFonts w:ascii="Times New Roman" w:hAnsi="Times New Roman"/>
          <w:sz w:val="20"/>
        </w:rPr>
        <w:t xml:space="preserve">. In addition to the foregoing, the Board shall have and may exercise all of the powers granted to or conferred upon it by the Articles of Association, the Bylaws and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Number</w:t>
      </w:r>
      <w:r>
        <w:rPr>
          <w:rFonts w:ascii="Times New Roman" w:hAnsi="Times New Roman"/>
          <w:sz w:val="20"/>
        </w:rPr>
        <w:t xml:space="preserve">.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Organization Meeting</w:t>
      </w:r>
      <w:r>
        <w:rPr>
          <w:rFonts w:ascii="Times New Roman" w:hAnsi="Times New Roman"/>
          <w:sz w:val="20"/>
        </w:rPr>
        <w:t xml:space="preserve">.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Regular Meetings</w:t>
      </w:r>
      <w:r>
        <w:rPr>
          <w:rFonts w:ascii="Times New Roman" w:hAnsi="Times New Roman"/>
          <w:sz w:val="20"/>
        </w:rPr>
        <w:t xml:space="preserve">. The regular meetings of the Board shall be held, without notice, as the Chairman or President may designate and deem suitable.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Special Meetings</w:t>
      </w:r>
      <w:r>
        <w:rPr>
          <w:rFonts w:ascii="Times New Roman" w:hAnsi="Times New Roman"/>
          <w:sz w:val="20"/>
        </w:rPr>
        <w:t xml:space="preserve">.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Quorum and Necessary Vote</w:t>
      </w:r>
      <w:r>
        <w:rPr>
          <w:rFonts w:ascii="Times New Roman" w:hAnsi="Times New Roman"/>
          <w:sz w:val="20"/>
        </w:rPr>
        <w:t xml:space="preserve">.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Written Consent</w:t>
      </w:r>
      <w:r>
        <w:rPr>
          <w:rFonts w:ascii="Times New Roman" w:hAnsi="Times New Roman"/>
          <w:sz w:val="20"/>
        </w:rPr>
        <w:t xml:space="preserve">. Except as otherwise required by applicable laws and regulations, the Board may act without a meeting by a unanimous written consent by all directors, to be filed with the Secretary of the Association as part of the corporate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Remote Meetings</w:t>
      </w:r>
      <w:r>
        <w:rPr>
          <w:rFonts w:ascii="Times New Roman" w:hAnsi="Times New Roman"/>
          <w:sz w:val="20"/>
        </w:rPr>
        <w:t xml:space="preserve">.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Vacancies</w:t>
      </w:r>
      <w:r>
        <w:rPr>
          <w:rFonts w:ascii="Times New Roman" w:hAnsi="Times New Roman"/>
          <w:sz w:val="20"/>
        </w:rPr>
        <w:t xml:space="preserve">. When any vacancy occurs among the directors, the remaining members of the Board may appoint a director to fill such vacancy at any regular meeting of the Board, or at a special meeting called for that purpose.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Advisory Board of Directors</w:t>
      </w:r>
      <w:r>
        <w:rPr>
          <w:rFonts w:ascii="Times New Roman" w:hAnsi="Times New Roman"/>
          <w:sz w:val="20"/>
        </w:rPr>
        <w:t xml:space="preserve">.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Trust Audit Committee</w:t>
      </w:r>
      <w:r>
        <w:rPr>
          <w:rFonts w:ascii="Times New Roman" w:hAnsi="Times New Roman"/>
          <w:sz w:val="20"/>
        </w:rPr>
        <w:t xml:space="preserve">.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financial holding company that is the ultimate parent of this Association, fulfilling the function of the trust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Must not include any officers of the Association or an affiliate who participate significantly in the administration of the Association’s fiduciary activities; and </w:t>
      </w:r>
    </w:p>
    <w:p>
      <w:pPr>
        <w:pStyle w:val="TextBody"/>
        <w:bidi w:val="0"/>
        <w:spacing w:before="120" w:after="0"/>
        <w:jc w:val="left"/>
        <w:rPr>
          <w:rFonts w:ascii="Times New Roman" w:hAnsi="Times New Roman"/>
          <w:sz w:val="20"/>
        </w:rPr>
      </w:pPr>
      <w:r>
        <w:rPr>
          <w:rFonts w:ascii="Times New Roman" w:hAnsi="Times New Roman"/>
          <w:sz w:val="20"/>
        </w:rPr>
        <w:t xml:space="preserve">(2) Must consist of a majority of members who are not also members of any committee to which the Board has delegated power to manage and control the fiduciary activities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Executive Committee</w:t>
      </w:r>
      <w:r>
        <w:rPr>
          <w:rFonts w:ascii="Times New Roman" w:hAnsi="Times New Roman"/>
          <w:sz w:val="20"/>
        </w:rPr>
        <w:t xml:space="preserve">. The Board may appoint an Executive Committee which shall consist of at least three directors and which shall have, and may exercise, to the extent permitted by applicable law, all the powers of the Board between meetings of the Board or otherwise when the Board is not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Trust Management Committee</w:t>
      </w:r>
      <w:r>
        <w:rPr>
          <w:rFonts w:ascii="Times New Roman" w:hAnsi="Times New Roman"/>
          <w:sz w:val="20"/>
        </w:rPr>
        <w:t xml:space="preserve">.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Other Committees</w:t>
      </w:r>
      <w:r>
        <w:rPr>
          <w:rFonts w:ascii="Times New Roman" w:hAnsi="Times New Roman"/>
          <w:sz w:val="20"/>
        </w:rPr>
        <w:t xml:space="preserve">.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Meetings, Minutes and Rules</w:t>
      </w:r>
      <w:r>
        <w:rPr>
          <w:rFonts w:ascii="Times New Roman" w:hAnsi="Times New Roman"/>
          <w:sz w:val="20"/>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Section 4.1 Who Shall Constitut</w:t>
      </w:r>
      <w:r>
        <w:rPr>
          <w:rFonts w:ascii="Times New Roman" w:hAnsi="Times New Roman"/>
          <w:sz w:val="20"/>
          <w:u w:val="single"/>
        </w:rPr>
        <w:t xml:space="preserve">e. </w:t>
      </w:r>
      <w:r>
        <w:rPr>
          <w:rFonts w:ascii="Times New Roman" w:hAnsi="Times New Roman"/>
          <w:sz w:val="20"/>
        </w:rPr>
        <w:t xml:space="preserve">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Section 4.2 Term of Offic</w:t>
      </w:r>
      <w:r>
        <w:rPr>
          <w:rFonts w:ascii="Times New Roman" w:hAnsi="Times New Roman"/>
          <w:sz w:val="20"/>
          <w:u w:val="single"/>
        </w:rPr>
        <w:t xml:space="preserve">e. </w:t>
      </w:r>
      <w:r>
        <w:rPr>
          <w:rFonts w:ascii="Times New Roman" w:hAnsi="Times New Roman"/>
          <w:sz w:val="20"/>
        </w:rPr>
        <w:t xml:space="preserve">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Chairman of the Board</w:t>
      </w:r>
      <w:r>
        <w:rPr>
          <w:rFonts w:ascii="Times New Roman" w:hAnsi="Times New Roman"/>
          <w:sz w:val="20"/>
        </w:rPr>
        <w:t xml:space="preserve">.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President</w:t>
      </w:r>
      <w:r>
        <w:rPr>
          <w:rFonts w:ascii="Times New Roman" w:hAnsi="Times New Roman"/>
          <w:sz w:val="20"/>
        </w:rPr>
        <w:t xml:space="preserve">.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Vice President</w:t>
      </w:r>
      <w:r>
        <w:rPr>
          <w:rFonts w:ascii="Times New Roman" w:hAnsi="Times New Roman"/>
          <w:sz w:val="20"/>
        </w:rPr>
        <w:t xml:space="preserve">.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Secretary</w:t>
      </w:r>
      <w:r>
        <w:rPr>
          <w:rFonts w:ascii="Times New Roman" w:hAnsi="Times New Roman"/>
          <w:sz w:val="20"/>
        </w:rPr>
        <w:t xml:space="preserve">.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Other Officers</w:t>
      </w:r>
      <w:r>
        <w:rPr>
          <w:rFonts w:ascii="Times New Roman" w:hAnsi="Times New Roman"/>
          <w:sz w:val="20"/>
        </w:rPr>
        <w:t xml:space="preserve">.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Execution of Instruments</w:t>
      </w:r>
      <w:r>
        <w:rPr>
          <w:rFonts w:ascii="Times New Roman" w:hAnsi="Times New Roman"/>
          <w:sz w:val="20"/>
        </w:rPr>
        <w:t xml:space="preserve">.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Records</w:t>
      </w:r>
      <w:r>
        <w:rPr>
          <w:rFonts w:ascii="Times New Roman" w:hAnsi="Times New Roman"/>
          <w:sz w:val="20"/>
        </w:rPr>
        <w:t xml:space="preserve">.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Trust Files</w:t>
      </w:r>
      <w:r>
        <w:rPr>
          <w:rFonts w:ascii="Times New Roman" w:hAnsi="Times New Roman"/>
          <w:sz w:val="20"/>
        </w:rPr>
        <w:t xml:space="preserve">. There shall be maintained in the Association files all fiduciary records necessary to assure that its fiduciary responsibilities have been properly undertaken and discharged.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 Investments</w:t>
      </w:r>
      <w:r>
        <w:rPr>
          <w:rFonts w:ascii="Times New Roman" w:hAnsi="Times New Roman"/>
          <w:sz w:val="20"/>
        </w:rPr>
        <w:t xml:space="preserve">.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w:t>
      </w:r>
      <w:r>
        <w:rPr>
          <w:rFonts w:ascii="Times New Roman" w:hAnsi="Times New Roman"/>
          <w:sz w:val="20"/>
        </w:rPr>
        <w:t xml:space="preserve">.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0" w:after="0"/>
        <w:jc w:val="left"/>
        <w:rPr>
          <w:rFonts w:ascii="Times New Roman" w:hAnsi="Times New Roman"/>
          <w:sz w:val="20"/>
        </w:rPr>
      </w:pPr>
      <w:r>
        <w:rPr>
          <w:rFonts w:ascii="Times New Roman" w:hAnsi="Times New Roman"/>
          <w:sz w:val="20"/>
        </w:rPr>
        <w:t xml:space="preserve">Except where specified otherwise in these Bylaws, prior notice shall be proper if given not more than 30 days nor less than 10 days prior to the event for which notice is given.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 </w:t>
      </w:r>
    </w:p>
    <w:p>
      <w:pPr>
        <w:pStyle w:val="TextBody"/>
        <w:bidi w:val="0"/>
        <w:spacing w:before="240" w:after="0"/>
        <w:jc w:val="left"/>
        <w:rPr>
          <w:rFonts w:ascii="Times New Roman" w:hAnsi="Times New Roman"/>
          <w:sz w:val="20"/>
        </w:rPr>
      </w:pPr>
      <w:r>
        <w:rPr>
          <w:rFonts w:ascii="Times New Roman" w:hAnsi="Times New Roman"/>
          <w:sz w:val="20"/>
        </w:rPr>
        <w:t xml:space="preserve">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Bylaws: Interpretation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9.1. These Bylaws shall be interpreted in accordance with and subject to appropriate provisions of law, and may be added to, altered, amended, or repealed, at any regular or special meeting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9.2. A copy of the Bylaws and all amendments shall at all times be kept in a convenient place at the principal office of the Association, and shall be open for inspection to all shareholders during Association hours.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Fiscal Year</w:t>
      </w:r>
      <w:r>
        <w:rPr>
          <w:rFonts w:ascii="Times New Roman" w:hAnsi="Times New Roman"/>
          <w:sz w:val="20"/>
        </w:rPr>
        <w:t xml:space="preserve">. The fiscal year of the Association shall begin on the first day of January in each year and shall end on the thirty-first day of December following.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w:t>
      </w:r>
      <w:r>
        <w:rPr>
          <w:rFonts w:ascii="Times New Roman" w:hAnsi="Times New Roman"/>
          <w:sz w:val="20"/>
        </w:rPr>
        <w:t xml:space="preserve">. This Association designates the Delaware General Corporation Law, as amended from time to time, as the governing law for its corporate governance procedures, to the extent not inconsistent with Federal banking statutes and regulations or bank safety and soundness.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(November 6,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1"/>
        <w:gridCol w:w="101"/>
        <w:gridCol w:w="407"/>
        <w:gridCol w:w="101"/>
        <w:gridCol w:w="306"/>
        <w:gridCol w:w="101"/>
        <w:gridCol w:w="4598"/>
      </w:tblGrid>
      <w:tr>
        <w:trPr/>
        <w:tc>
          <w:tcPr>
            <w:tcW w:w="459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pPr>
            <w:r>
              <w:rPr/>
              <w:t>Dated: July 28,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Adina Casper</w:t>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Adina Casper</w:t>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as of 3/31/2026 </w:t>
      </w:r>
    </w:p>
    <w:p>
      <w:pPr>
        <w:pStyle w:val="TextBody"/>
        <w:bidi w:val="0"/>
        <w:spacing w:before="240" w:after="0"/>
        <w:jc w:val="center"/>
        <w:rPr>
          <w:rFonts w:ascii="Times New Roman" w:hAnsi="Times New Roman"/>
          <w:b/>
          <w:sz w:val="20"/>
        </w:rPr>
      </w:pPr>
      <w:r>
        <w:rPr>
          <w:rFonts w:ascii="Times New Roman" w:hAnsi="Times New Roman"/>
          <w:b/>
          <w:sz w:val="20"/>
        </w:rPr>
        <w:t xml:space="preserve">($000’s)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8"/>
        <w:gridCol w:w="246"/>
        <w:gridCol w:w="140"/>
        <w:gridCol w:w="1009"/>
        <w:gridCol w:w="62"/>
      </w:tblGrid>
      <w:tr>
        <w:trPr/>
        <w:tc>
          <w:tcPr>
            <w:tcW w:w="8748"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4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3/31/2026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2,159,991</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Depository Institutions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4,683</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Loans &amp; Lease Financing Receivables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534</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573,596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160,011</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2,898,815</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 Funds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Treasury Demand Notes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Acceptances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221,704</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221,704</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Common and Preferred Stock</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200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1,171,635</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Undivided Profits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1,505,276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Minority Interest in Subsidiaries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2,677,111</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2,898,815</w:t>
            </w:r>
          </w:p>
        </w:tc>
        <w:tc>
          <w:tcPr>
            <w:tcW w:w="62" w:type="dxa"/>
            <w:tcBorders/>
            <w:shd w:fill="CCEEFF" w:val="clear"/>
            <w:vAlign w:val="bottom"/>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30" w:name="d137141dexfilingfees.htm"/>
      <w:bookmarkStart w:id="31" w:name="ksd137141dexfilingfees"/>
      <w:bookmarkStart w:id="32" w:name="d137141dexfilingfees.htm"/>
      <w:bookmarkStart w:id="33" w:name="ksd137141dexfilingfees"/>
      <w:bookmarkEnd w:id="32"/>
      <w:bookmarkEnd w:id="33"/>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CAMPBELL'S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Capital Stock, par value $0.0375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4" w:name="MaxAggtOfferingPrice"/>
            <w:bookmarkEnd w:id="3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An indeterminate amount of securities to be offered at indeterminate prices is being registered pursuant to this Registration Statement. Separate consideration may or may not be received for securities that are issuable upon exercise, conversion or exchange of other securities, or that are issued in units.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registered hereunder. In accordance with Rules 456(b) and 457(r) of the Securities Act, the registrant is deferring payment of the registration fee. Registration fees will be paid subsequently on a "pay-as-you-go" basis in one or more offerings to be made hereunder. The registrant will calculate the registration fee applicable to an offer of securities pursuant to this Registration Statement based on the fee payment rate in effect on the date of such fee payment.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See Note 1. Debt securities of the registrant, which may be senior or subordinated.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4" w:type="dxa"/>
            <w:gridSpan w:val="2"/>
            <w:tcBorders/>
            <w:vAlign w:val="center"/>
          </w:tcPr>
          <w:p>
            <w:pPr>
              <w:pStyle w:val="TableContents"/>
              <w:bidi w:val="0"/>
              <w:spacing w:before="0" w:after="283"/>
              <w:jc w:val="left"/>
              <w:rPr/>
            </w:pPr>
            <w:r>
              <w:rPr/>
              <w:t xml:space="preserve">See Note 1. Consisting of some or all of the securities listed above, in any combination.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732/000001673225000112/cpb-20250803.htm" TargetMode="External"/><Relationship Id="rId4" Type="http://schemas.openxmlformats.org/officeDocument/2006/relationships/hyperlink" Target="http://www.sec.gov/Archives/edgar/data/16732/000001673225000126/cpb-20251102.htm" TargetMode="External"/><Relationship Id="rId5" Type="http://schemas.openxmlformats.org/officeDocument/2006/relationships/hyperlink" Target="http://www.sec.gov/Archives/edgar/data/16732/000001673226000006/cpb-20260201.htm" TargetMode="External"/><Relationship Id="rId6" Type="http://schemas.openxmlformats.org/officeDocument/2006/relationships/hyperlink" Target="http://www.sec.gov/Archives/edgar/data/16732/000001673226000012/cpb-20260503.htm" TargetMode="External"/><Relationship Id="rId7" Type="http://schemas.openxmlformats.org/officeDocument/2006/relationships/hyperlink" Target="http://www.sec.gov/Archives/edgar/data/16732/000130817925000618/cpb-20251007.htm" TargetMode="External"/><Relationship Id="rId8" Type="http://schemas.openxmlformats.org/officeDocument/2006/relationships/hyperlink" Target="http://www.sec.gov/Archives/edgar/data/16732/000001673225000112/cpb-20250803.htm" TargetMode="External"/><Relationship Id="rId9" Type="http://schemas.openxmlformats.org/officeDocument/2006/relationships/hyperlink" Target="http://www.sec.gov/Archives/edgar/data/16732/000119312525173561/d66603d8k.htm" TargetMode="External"/><Relationship Id="rId10" Type="http://schemas.openxmlformats.org/officeDocument/2006/relationships/hyperlink" Target="http://www.sec.gov/Archives/edgar/data/16732/000001673225000108/cpb-20250902.htm" TargetMode="External"/><Relationship Id="rId11" Type="http://schemas.openxmlformats.org/officeDocument/2006/relationships/hyperlink" Target="http://www.sec.gov/Archives/edgar/data/16732/000001673225000115/cpb-20251002.htm" TargetMode="External"/><Relationship Id="rId12" Type="http://schemas.openxmlformats.org/officeDocument/2006/relationships/hyperlink" Target="http://www.sec.gov/Archives/edgar/data/16732/000001673225000117/cpb-20251118.htm" TargetMode="External"/><Relationship Id="rId13" Type="http://schemas.openxmlformats.org/officeDocument/2006/relationships/hyperlink" Target="http://www.sec.gov/Archives/edgar/data/16732/000119312525311905/d23938d8k.htm" TargetMode="External"/><Relationship Id="rId14" Type="http://schemas.openxmlformats.org/officeDocument/2006/relationships/hyperlink" Target="http://www.sec.gov/Archives/edgar/data/16732/000119312525319210/d91329d8k.htm" TargetMode="External"/><Relationship Id="rId15" Type="http://schemas.openxmlformats.org/officeDocument/2006/relationships/hyperlink" Target="http://www.sec.gov/Archives/edgar/data/16732/000001673226000014/cpb-20260617.htm" TargetMode="External"/><Relationship Id="rId16" Type="http://schemas.openxmlformats.org/officeDocument/2006/relationships/hyperlink" Target="http://www.sec.gov/Archives/edgar/data/16732/000001673219000070/cpb-7292018x10xkxexb4p.htm" TargetMode="External"/><Relationship Id="rId17" Type="http://schemas.openxmlformats.org/officeDocument/2006/relationships/hyperlink" Target="http://www.sec.gov/Archives/edgar/data/16732/000001673224000201/cpb-exh31xrestatedcertific.htm" TargetMode="External"/><Relationship Id="rId18" Type="http://schemas.openxmlformats.org/officeDocument/2006/relationships/hyperlink" Target="http://www.sec.gov/Archives/edgar/data/16732/000001673224000194/cpb-exh32xbyxlaws.htm" TargetMode="External"/><Relationship Id="rId19" Type="http://schemas.openxmlformats.org/officeDocument/2006/relationships/hyperlink" Target="http://www.sec.gov/Archives/edgar/data/16732/000119312515097806/d801200dex41.htm" TargetMode="External"/><Relationship Id="rId20" Type="http://schemas.openxmlformats.org/officeDocument/2006/relationships/hyperlink" Target="http://www.sec.gov/Archives/edgar/data/16732/000119312523215040/d441929dex43.htm" TargetMode="External"/><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199</Pages>
  <Words>89873</Words>
  <Characters>461041</Characters>
  <CharactersWithSpaces>552098</CharactersWithSpaces>
  <Paragraphs>4513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EX-25.2</dc:title>
</cp:coreProperties>
</file>