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Campbell's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1539"/>
        <w:spacing w:after="0" w:line="286" w:lineRule="auto"/>
        <w:rPr>
          <w:sz w:val="20"/>
          <w:szCs w:val="20"/>
          <w:color w:val="auto"/>
        </w:rPr>
      </w:pPr>
      <w:r>
        <w:rPr>
          <w:rFonts w:ascii="Times New Roman" w:cs="Times New Roman" w:eastAsia="Times New Roman" w:hAnsi="Times New Roman"/>
          <w:sz w:val="22"/>
          <w:szCs w:val="22"/>
          <w:color w:val="auto"/>
        </w:rPr>
        <w:t>Catherine D. Malone, as Trustee of the Mary Alice Dorrance Malone Revocable Trust Check the appropriate box if a member of a Group (see instructions)</w:t>
      </w:r>
    </w:p>
    <w:p>
      <w:pPr>
        <w:ind w:left="1120" w:hanging="1112"/>
        <w:spacing w:after="0" w:line="218" w:lineRule="auto"/>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30,492,657.00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30,492,657.00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30,492,657.00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Reporting person is a revocable trust whose grantor died on June 16, 2025.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also holds indirect pecuniary interest in a portion of the 18,426,809 shares of the issuer held by Contango, LP, and a portion of the 4,271,414 shares of the issuer held by Quizhou, LP. Reporting person has no voting power or dispositive power over these entities, and disclaims beneficial ownership in the shares of issuer held by Contango and Quizhou, except to the extent of its pecuniary interest therein. Reporting Person merged with Trust U/A/D October 14, 2009, of Mary Alice Dorrance Malone, Settlor on March 31, 2026, pursuant to which Reporting Person increased its indirect interests in Issuer by 17,274,200 shares.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102"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Campbell's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Campbell Place Camden, NJ, 08103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840"/>
        <w:spacing w:after="0" w:line="309" w:lineRule="auto"/>
        <w:rPr>
          <w:sz w:val="20"/>
          <w:szCs w:val="20"/>
          <w:color w:val="auto"/>
        </w:rPr>
      </w:pPr>
      <w:r>
        <w:rPr>
          <w:rFonts w:ascii="Times New Roman" w:cs="Times New Roman" w:eastAsia="Times New Roman" w:hAnsi="Times New Roman"/>
          <w:sz w:val="22"/>
          <w:szCs w:val="22"/>
          <w:color w:val="auto"/>
        </w:rPr>
        <w:t>Catherine D. Malone, as Trustee of the Mary Alice Dorrance Malone Revocable Trust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6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80"/>
          </w:cols>
          <w:pgMar w:left="320" w:top="102" w:right="339" w:bottom="0" w:gutter="0" w:footer="0" w:header="0"/>
          <w:type w:val="continuous"/>
        </w:sectPr>
      </w:pPr>
    </w:p>
    <w:bookmarkStart w:id="2" w:name="page3"/>
    <w:bookmarkEnd w:id="2"/>
    <w:p>
      <w:pPr>
        <w:spacing w:after="0" w:line="19"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30,492,6547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30,492,657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30,492,657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57"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Catherine D. Malone, as Trustee of the Mary Alice Dorrance</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Malone Revocable Trust</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Catherine D. Malone, as Trustee of the Mary</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Alice Dorrance Malone Revocable Trust</w:t>
      </w:r>
    </w:p>
    <w:p>
      <w:pPr>
        <w:sectPr>
          <w:pgSz w:w="11900" w:h="16857" w:orient="portrait"/>
          <w:cols w:equalWidth="0" w:num="1">
            <w:col w:w="11140"/>
          </w:cols>
          <w:pgMar w:left="360" w:top="126" w:right="399" w:bottom="0" w:gutter="0" w:footer="0" w:header="0"/>
          <w:type w:val="continuous"/>
        </w:sectPr>
      </w:pPr>
    </w:p>
    <w:bookmarkStart w:id="3" w:name="page4"/>
    <w:bookmarkEnd w:id="3"/>
    <w:p>
      <w:pPr>
        <w:ind w:left="4580"/>
        <w:spacing w:after="0"/>
        <w:rPr>
          <w:sz w:val="20"/>
          <w:szCs w:val="20"/>
          <w:color w:val="auto"/>
        </w:rPr>
      </w:pPr>
      <w:r>
        <w:rPr>
          <w:rFonts w:ascii="Times New Roman" w:cs="Times New Roman" w:eastAsia="Times New Roman" w:hAnsi="Times New Roman"/>
          <w:sz w:val="22"/>
          <w:szCs w:val="22"/>
          <w:color w:val="auto"/>
        </w:rPr>
        <w:t>Name/Title: Trustee</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05/21/2026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6"/>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2026-05-21T12:02:56Z</dcterms:created>
  <dcterms:modified xsi:type="dcterms:W3CDTF">2026-05-21T12:02:56Z</dcterms:modified>
</cp:coreProperties>
</file>