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60" w:after="283"/>
        <w:jc w:val="center"/>
        <w:rPr>
          <w:rFonts w:ascii="Times New Roman;serif" w:hAnsi="Times New Roman;serif"/>
          <w:b/>
          <w:color w:val="000000"/>
          <w:sz w:val="28"/>
        </w:rPr>
      </w:pPr>
      <w:r>
        <w:rPr>
          <w:rFonts w:ascii="Times New Roman;serif" w:hAnsi="Times New Roman;serif"/>
          <w:b/>
          <w:color w:val="000000"/>
          <w:sz w:val="28"/>
        </w:rPr>
        <w:t>UNITED STATES</w:t>
      </w:r>
    </w:p>
    <w:p>
      <w:pPr>
        <w:pStyle w:val="TextBody"/>
        <w:bidi w:val="0"/>
        <w:spacing w:lineRule="auto" w:line="288" w:before="0" w:after="0"/>
        <w:jc w:val="center"/>
        <w:rPr>
          <w:rFonts w:ascii="Times New Roman;serif" w:hAnsi="Times New Roman;serif"/>
          <w:b/>
          <w:color w:val="000000"/>
          <w:sz w:val="28"/>
        </w:rPr>
      </w:pPr>
      <w:r>
        <w:rPr>
          <w:rFonts w:ascii="Times New Roman;serif" w:hAnsi="Times New Roman;serif"/>
          <w:b/>
          <w:color w:val="000000"/>
          <w:sz w:val="28"/>
        </w:rPr>
        <w:t>SECURITIES AND EXCHANGE COMMISSION</w:t>
      </w:r>
    </w:p>
    <w:p>
      <w:pPr>
        <w:pStyle w:val="TextBody"/>
        <w:bidi w:val="0"/>
        <w:spacing w:lineRule="auto" w:line="288" w:before="0" w:after="0"/>
        <w:jc w:val="center"/>
        <w:rPr>
          <w:rFonts w:ascii="Times New Roman;serif" w:hAnsi="Times New Roman;serif"/>
          <w:b/>
          <w:color w:val="000000"/>
          <w:sz w:val="28"/>
        </w:rPr>
      </w:pPr>
      <w:r>
        <w:rPr>
          <w:rFonts w:ascii="Times New Roman;serif" w:hAnsi="Times New Roman;serif"/>
          <w:b/>
          <w:color w:val="000000"/>
          <w:sz w:val="28"/>
        </w:rPr>
        <w:t>Washington, D.C. 20549</w:t>
      </w:r>
    </w:p>
    <w:p>
      <w:pPr>
        <w:pStyle w:val="TextBody"/>
        <w:bidi w:val="0"/>
        <w:spacing w:lineRule="auto" w:line="288" w:before="120" w:after="283"/>
        <w:jc w:val="center"/>
        <w:rPr>
          <w:rFonts w:ascii="Times New Roman;serif" w:hAnsi="Times New Roman;serif"/>
          <w:b/>
          <w:color w:val="000000"/>
          <w:sz w:val="36"/>
        </w:rPr>
      </w:pPr>
      <w:r>
        <w:rPr>
          <w:rFonts w:ascii="Times New Roman;serif" w:hAnsi="Times New Roman;serif"/>
          <w:b/>
          <w:color w:val="000000"/>
          <w:sz w:val="36"/>
        </w:rPr>
        <w:t xml:space="preserve">FORM 8-K </w:t>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CURRENT REPORT</w:t>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PURSUANT TO SECTION 13 OR 15(d)</w:t>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OF THE SECURITIES EXCHANGE ACT OF 1934</w:t>
      </w:r>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Date of Report</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(Date of Earliest Event Reported):</w:t>
      </w:r>
    </w:p>
    <w:p>
      <w:pPr>
        <w:pStyle w:val="TextBody"/>
        <w:bidi w:val="0"/>
        <w:spacing w:lineRule="auto" w:line="288" w:before="0" w:after="0"/>
        <w:jc w:val="center"/>
        <w:rPr/>
      </w:pPr>
      <w:r>
        <w:rPr>
          <w:rFonts w:ascii="Times New Roman;serif" w:hAnsi="Times New Roman;serif"/>
          <w:b/>
          <w:color w:val="000000"/>
          <w:sz w:val="20"/>
        </w:rPr>
        <w:t>June 17, 2026</w:t>
      </w:r>
      <w:r>
        <w:rPr>
          <w:color w:val="000000"/>
          <w:shd w:fill="FFFFFF" w:val="clear"/>
        </w:rPr>
        <w:t xml:space="preserve"> </w:t>
      </w:r>
    </w:p>
    <w:p>
      <w:pPr>
        <w:pStyle w:val="TextBody"/>
        <w:bidi w:val="0"/>
        <w:spacing w:before="120" w:after="120"/>
        <w:jc w:val="center"/>
        <w:rPr/>
      </w:pPr>
      <w:r>
        <w:rPr/>
        <w:drawing>
          <wp:inline distT="0" distB="0" distL="0" distR="0">
            <wp:extent cx="1362075" cy="100965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362075" cy="1009650"/>
                    </a:xfrm>
                    <a:prstGeom prst="rect">
                      <a:avLst/>
                    </a:prstGeom>
                  </pic:spPr>
                </pic:pic>
              </a:graphicData>
            </a:graphic>
          </wp:inline>
        </w:drawing>
      </w:r>
      <w:bookmarkStart w:id="0" w:name="i-1"/>
      <w:bookmarkEnd w:id="0"/>
    </w:p>
    <w:p>
      <w:pPr>
        <w:pStyle w:val="TextBody"/>
        <w:bidi w:val="0"/>
        <w:spacing w:lineRule="auto" w:line="288" w:before="120" w:after="120"/>
        <w:jc w:val="center"/>
        <w:rPr>
          <w:rFonts w:ascii="Times New Roman;serif" w:hAnsi="Times New Roman;serif"/>
          <w:b/>
          <w:color w:val="000000"/>
          <w:sz w:val="44"/>
        </w:rPr>
      </w:pPr>
      <w:r>
        <w:rPr>
          <w:rFonts w:ascii="Times New Roman;serif" w:hAnsi="Times New Roman;serif"/>
          <w:b/>
          <w:color w:val="000000"/>
          <w:sz w:val="44"/>
        </w:rPr>
        <w:t>THE CAMPBELL'S COMPANY</w:t>
      </w:r>
    </w:p>
    <w:tbl>
      <w:tblPr>
        <w:tblW w:w="8572" w:type="dxa"/>
        <w:jc w:val="center"/>
        <w:tblInd w:w="0" w:type="dxa"/>
        <w:tblLayout w:type="fixed"/>
        <w:tblCellMar>
          <w:top w:w="28" w:type="dxa"/>
          <w:left w:w="28" w:type="dxa"/>
          <w:bottom w:w="28" w:type="dxa"/>
          <w:right w:w="28" w:type="dxa"/>
        </w:tblCellMar>
      </w:tblPr>
      <w:tblGrid>
        <w:gridCol w:w="1396"/>
        <w:gridCol w:w="1225"/>
        <w:gridCol w:w="1234"/>
        <w:gridCol w:w="109"/>
        <w:gridCol w:w="109"/>
        <w:gridCol w:w="109"/>
        <w:gridCol w:w="792"/>
        <w:gridCol w:w="792"/>
        <w:gridCol w:w="800"/>
        <w:gridCol w:w="109"/>
        <w:gridCol w:w="109"/>
        <w:gridCol w:w="109"/>
        <w:gridCol w:w="490"/>
        <w:gridCol w:w="490"/>
        <w:gridCol w:w="699"/>
      </w:tblGrid>
      <w:tr>
        <w:trPr/>
        <w:tc>
          <w:tcPr>
            <w:tcW w:w="1396" w:type="dxa"/>
            <w:tcBorders/>
            <w:vAlign w:val="center"/>
          </w:tcPr>
          <w:p>
            <w:pPr>
              <w:pStyle w:val="TableContents"/>
              <w:bidi w:val="0"/>
              <w:spacing w:before="0" w:after="283"/>
              <w:jc w:val="left"/>
              <w:rPr>
                <w:sz w:val="4"/>
                <w:szCs w:val="4"/>
              </w:rPr>
            </w:pPr>
            <w:r>
              <w:rPr>
                <w:sz w:val="4"/>
                <w:szCs w:val="4"/>
              </w:rPr>
            </w:r>
          </w:p>
        </w:tc>
        <w:tc>
          <w:tcPr>
            <w:tcW w:w="1225" w:type="dxa"/>
            <w:tcBorders/>
            <w:vAlign w:val="center"/>
          </w:tcPr>
          <w:p>
            <w:pPr>
              <w:pStyle w:val="TableContents"/>
              <w:bidi w:val="0"/>
              <w:spacing w:before="0" w:after="283"/>
              <w:jc w:val="left"/>
              <w:rPr>
                <w:sz w:val="4"/>
                <w:szCs w:val="4"/>
              </w:rPr>
            </w:pPr>
            <w:r>
              <w:rPr>
                <w:sz w:val="4"/>
                <w:szCs w:val="4"/>
              </w:rPr>
            </w:r>
          </w:p>
        </w:tc>
        <w:tc>
          <w:tcPr>
            <w:tcW w:w="12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92" w:type="dxa"/>
            <w:tcBorders/>
            <w:vAlign w:val="center"/>
          </w:tcPr>
          <w:p>
            <w:pPr>
              <w:pStyle w:val="TableContents"/>
              <w:bidi w:val="0"/>
              <w:spacing w:before="0" w:after="283"/>
              <w:jc w:val="left"/>
              <w:rPr>
                <w:sz w:val="4"/>
                <w:szCs w:val="4"/>
              </w:rPr>
            </w:pPr>
            <w:r>
              <w:rPr>
                <w:sz w:val="4"/>
                <w:szCs w:val="4"/>
              </w:rPr>
            </w:r>
          </w:p>
        </w:tc>
        <w:tc>
          <w:tcPr>
            <w:tcW w:w="792"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0" w:type="dxa"/>
            <w:tcBorders/>
            <w:vAlign w:val="center"/>
          </w:tcPr>
          <w:p>
            <w:pPr>
              <w:pStyle w:val="TableContents"/>
              <w:bidi w:val="0"/>
              <w:spacing w:before="0" w:after="283"/>
              <w:jc w:val="left"/>
              <w:rPr>
                <w:sz w:val="4"/>
                <w:szCs w:val="4"/>
              </w:rPr>
            </w:pPr>
            <w:r>
              <w:rPr>
                <w:sz w:val="4"/>
                <w:szCs w:val="4"/>
              </w:rPr>
            </w:r>
          </w:p>
        </w:tc>
        <w:tc>
          <w:tcPr>
            <w:tcW w:w="490" w:type="dxa"/>
            <w:tcBorders/>
            <w:vAlign w:val="center"/>
          </w:tcPr>
          <w:p>
            <w:pPr>
              <w:pStyle w:val="TableContents"/>
              <w:bidi w:val="0"/>
              <w:spacing w:before="0" w:after="283"/>
              <w:jc w:val="left"/>
              <w:rPr>
                <w:sz w:val="4"/>
                <w:szCs w:val="4"/>
              </w:rPr>
            </w:pPr>
            <w:r>
              <w:rPr>
                <w:sz w:val="4"/>
                <w:szCs w:val="4"/>
              </w:rPr>
            </w:r>
          </w:p>
        </w:tc>
        <w:tc>
          <w:tcPr>
            <w:tcW w:w="699" w:type="dxa"/>
            <w:tcBorders/>
            <w:vAlign w:val="center"/>
          </w:tcPr>
          <w:p>
            <w:pPr>
              <w:pStyle w:val="TableContents"/>
              <w:bidi w:val="0"/>
              <w:spacing w:before="0" w:after="283"/>
              <w:jc w:val="left"/>
              <w:rPr>
                <w:sz w:val="4"/>
                <w:szCs w:val="4"/>
              </w:rPr>
            </w:pPr>
            <w:r>
              <w:rPr>
                <w:sz w:val="4"/>
                <w:szCs w:val="4"/>
              </w:rPr>
            </w:r>
          </w:p>
        </w:tc>
      </w:tr>
      <w:tr>
        <w:trPr/>
        <w:tc>
          <w:tcPr>
            <w:tcW w:w="38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New Jersey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1-3822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21-0419870</w:t>
            </w:r>
          </w:p>
        </w:tc>
      </w:tr>
      <w:tr>
        <w:trPr/>
        <w:tc>
          <w:tcPr>
            <w:tcW w:w="38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(State or other jurisdiction of incorporation)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(Commission File 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(IRS Employer</w:t>
              <w:br/>
              <w:t>Identification No.)</w:t>
            </w:r>
          </w:p>
        </w:tc>
      </w:tr>
    </w:tbl>
    <w:p>
      <w:pPr>
        <w:pStyle w:val="TextBody"/>
        <w:bidi w:val="0"/>
        <w:spacing w:lineRule="auto" w:line="288" w:before="180" w:after="283"/>
        <w:jc w:val="center"/>
        <w:rPr>
          <w:rFonts w:ascii="Times New Roman;serif" w:hAnsi="Times New Roman;serif"/>
          <w:b/>
          <w:color w:val="000000"/>
          <w:sz w:val="20"/>
        </w:rPr>
      </w:pPr>
      <w:r>
        <w:rPr>
          <w:rFonts w:ascii="Times New Roman;serif" w:hAnsi="Times New Roman;serif"/>
          <w:b/>
          <w:color w:val="000000"/>
          <w:sz w:val="20"/>
        </w:rPr>
        <w:t xml:space="preserve">One Campbell Place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Camden, New Jersey 08103-1799</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Principal Executive Offices</w:t>
      </w:r>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 xml:space="preserve">Telephone Number: (856) 342-4800 </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 Applicable</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(Former name or former address, if changed since last report.)</w:t>
      </w: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Check the appropriate box below if the Form 8-K filing is intended to simultaneously satisfy the filing obligation of the registrant under any of the following provisions:</w:t>
      </w:r>
    </w:p>
    <w:p>
      <w:pPr>
        <w:pStyle w:val="TextBody"/>
        <w:bidi w:val="0"/>
        <w:spacing w:lineRule="auto" w:line="288" w:before="120" w:after="283"/>
        <w:jc w:val="left"/>
        <w:rPr/>
      </w:pPr>
      <w:r>
        <w:rPr>
          <w:color w:val="000000"/>
        </w:rPr>
        <w:t xml:space="preserve">☐ </w:t>
      </w:r>
      <w:r>
        <w:rPr>
          <w:rFonts w:ascii="Times New Roman;serif" w:hAnsi="Times New Roman;serif"/>
          <w:b/>
          <w:color w:val="000000"/>
          <w:sz w:val="20"/>
        </w:rPr>
        <w:t>Written communications pursuant to Rule 425 under the Securities Act (17 CFR 230.425)</w:t>
      </w:r>
    </w:p>
    <w:p>
      <w:pPr>
        <w:pStyle w:val="TextBody"/>
        <w:bidi w:val="0"/>
        <w:spacing w:lineRule="auto" w:line="288" w:before="120" w:after="283"/>
        <w:jc w:val="left"/>
        <w:rPr/>
      </w:pPr>
      <w:r>
        <w:rPr>
          <w:color w:val="000000"/>
        </w:rPr>
        <w:t xml:space="preserve">☐ </w:t>
      </w:r>
      <w:r>
        <w:rPr>
          <w:rFonts w:ascii="Times New Roman;serif" w:hAnsi="Times New Roman;serif"/>
          <w:b/>
          <w:color w:val="000000"/>
          <w:sz w:val="20"/>
        </w:rPr>
        <w:t>Soliciting material pursuant to Rule 14a-12 under the Exchange Act (17 CFR 240.14a-12)</w:t>
      </w:r>
    </w:p>
    <w:p>
      <w:pPr>
        <w:pStyle w:val="TextBody"/>
        <w:bidi w:val="0"/>
        <w:spacing w:lineRule="auto" w:line="288" w:before="120" w:after="283"/>
        <w:jc w:val="left"/>
        <w:rPr/>
      </w:pPr>
      <w:r>
        <w:rPr>
          <w:color w:val="000000"/>
        </w:rPr>
        <w:t xml:space="preserve">☐ </w:t>
      </w:r>
      <w:r>
        <w:rPr>
          <w:rFonts w:ascii="Times New Roman;serif" w:hAnsi="Times New Roman;serif"/>
          <w:b/>
          <w:color w:val="000000"/>
          <w:sz w:val="20"/>
        </w:rPr>
        <w:t>Pre-commencement communications pursuant to Rule 14d-2(b) under the Exchange Act (17 CFR 240.14d-2(b))</w:t>
      </w:r>
    </w:p>
    <w:p>
      <w:pPr>
        <w:pStyle w:val="TextBody"/>
        <w:bidi w:val="0"/>
        <w:spacing w:lineRule="auto" w:line="288" w:before="120" w:after="283"/>
        <w:jc w:val="left"/>
        <w:rPr/>
      </w:pPr>
      <w:r>
        <w:rPr>
          <w:color w:val="000000"/>
        </w:rPr>
        <w:t xml:space="preserve">☐ </w:t>
      </w:r>
      <w:r>
        <w:rPr>
          <w:rFonts w:ascii="Times New Roman;serif" w:hAnsi="Times New Roman;serif"/>
          <w:b/>
          <w:color w:val="000000"/>
          <w:sz w:val="20"/>
        </w:rPr>
        <w:t>Pre-commencement communications pursuant to Rule 13e-4(c) under the Exchange Act (17 CFR 240.13e-(c))</w:t>
      </w:r>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Securities registered pursuant to Section 12(b) of the Act:</w:t>
      </w:r>
    </w:p>
    <w:tbl>
      <w:tblPr>
        <w:tblW w:w="7108" w:type="dxa"/>
        <w:jc w:val="center"/>
        <w:tblInd w:w="0" w:type="dxa"/>
        <w:tblLayout w:type="fixed"/>
        <w:tblCellMar>
          <w:top w:w="28" w:type="dxa"/>
          <w:left w:w="28" w:type="dxa"/>
          <w:bottom w:w="28" w:type="dxa"/>
          <w:right w:w="28" w:type="dxa"/>
        </w:tblCellMar>
      </w:tblPr>
      <w:tblGrid>
        <w:gridCol w:w="846"/>
        <w:gridCol w:w="742"/>
        <w:gridCol w:w="752"/>
        <w:gridCol w:w="484"/>
        <w:gridCol w:w="484"/>
        <w:gridCol w:w="486"/>
        <w:gridCol w:w="970"/>
        <w:gridCol w:w="970"/>
        <w:gridCol w:w="1374"/>
      </w:tblGrid>
      <w:tr>
        <w:trPr/>
        <w:tc>
          <w:tcPr>
            <w:tcW w:w="846" w:type="dxa"/>
            <w:tcBorders/>
            <w:vAlign w:val="center"/>
          </w:tcPr>
          <w:p>
            <w:pPr>
              <w:pStyle w:val="TableContents"/>
              <w:bidi w:val="0"/>
              <w:spacing w:before="0" w:after="283"/>
              <w:jc w:val="left"/>
              <w:rPr>
                <w:sz w:val="4"/>
                <w:szCs w:val="4"/>
              </w:rPr>
            </w:pPr>
            <w:r>
              <w:rPr>
                <w:sz w:val="4"/>
                <w:szCs w:val="4"/>
              </w:rPr>
            </w:r>
          </w:p>
        </w:tc>
        <w:tc>
          <w:tcPr>
            <w:tcW w:w="742" w:type="dxa"/>
            <w:tcBorders/>
            <w:vAlign w:val="center"/>
          </w:tcPr>
          <w:p>
            <w:pPr>
              <w:pStyle w:val="TableContents"/>
              <w:bidi w:val="0"/>
              <w:spacing w:before="0" w:after="283"/>
              <w:jc w:val="left"/>
              <w:rPr>
                <w:sz w:val="4"/>
                <w:szCs w:val="4"/>
              </w:rPr>
            </w:pPr>
            <w:r>
              <w:rPr>
                <w:sz w:val="4"/>
                <w:szCs w:val="4"/>
              </w:rPr>
            </w:r>
          </w:p>
        </w:tc>
        <w:tc>
          <w:tcPr>
            <w:tcW w:w="752"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970" w:type="dxa"/>
            <w:tcBorders/>
            <w:vAlign w:val="center"/>
          </w:tcPr>
          <w:p>
            <w:pPr>
              <w:pStyle w:val="TableContents"/>
              <w:bidi w:val="0"/>
              <w:spacing w:before="0" w:after="283"/>
              <w:jc w:val="left"/>
              <w:rPr>
                <w:sz w:val="4"/>
                <w:szCs w:val="4"/>
              </w:rPr>
            </w:pPr>
            <w:r>
              <w:rPr>
                <w:sz w:val="4"/>
                <w:szCs w:val="4"/>
              </w:rPr>
            </w:r>
          </w:p>
        </w:tc>
        <w:tc>
          <w:tcPr>
            <w:tcW w:w="970" w:type="dxa"/>
            <w:tcBorders/>
            <w:vAlign w:val="center"/>
          </w:tcPr>
          <w:p>
            <w:pPr>
              <w:pStyle w:val="TableContents"/>
              <w:bidi w:val="0"/>
              <w:spacing w:before="0" w:after="283"/>
              <w:jc w:val="left"/>
              <w:rPr>
                <w:sz w:val="4"/>
                <w:szCs w:val="4"/>
              </w:rPr>
            </w:pPr>
            <w:r>
              <w:rPr>
                <w:sz w:val="4"/>
                <w:szCs w:val="4"/>
              </w:rPr>
            </w:r>
          </w:p>
        </w:tc>
        <w:tc>
          <w:tcPr>
            <w:tcW w:w="1374" w:type="dxa"/>
            <w:tcBorders/>
            <w:vAlign w:val="center"/>
          </w:tcPr>
          <w:p>
            <w:pPr>
              <w:pStyle w:val="TableContents"/>
              <w:bidi w:val="0"/>
              <w:spacing w:before="0" w:after="283"/>
              <w:jc w:val="left"/>
              <w:rPr>
                <w:sz w:val="4"/>
                <w:szCs w:val="4"/>
              </w:rPr>
            </w:pPr>
            <w:r>
              <w:rPr>
                <w:sz w:val="4"/>
                <w:szCs w:val="4"/>
              </w:rPr>
            </w:r>
          </w:p>
        </w:tc>
      </w:tr>
      <w:tr>
        <w:trPr/>
        <w:tc>
          <w:tcPr>
            <w:tcW w:w="23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u w:val="single"/>
              </w:rPr>
            </w:pPr>
            <w:r>
              <w:rPr>
                <w:rFonts w:ascii="Times New Roman;serif" w:hAnsi="Times New Roman;serif"/>
                <w:b/>
                <w:color w:val="000000"/>
                <w:sz w:val="16"/>
                <w:u w:val="single"/>
              </w:rPr>
              <w:t>Title of each class</w:t>
            </w:r>
          </w:p>
        </w:tc>
        <w:tc>
          <w:tcPr>
            <w:tcW w:w="14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u w:val="single"/>
              </w:rPr>
            </w:pPr>
            <w:r>
              <w:rPr>
                <w:rFonts w:ascii="Times New Roman;serif" w:hAnsi="Times New Roman;serif"/>
                <w:b/>
                <w:color w:val="000000"/>
                <w:sz w:val="16"/>
                <w:u w:val="single"/>
              </w:rPr>
              <w:t>Trading Symbol(s)</w:t>
            </w:r>
          </w:p>
        </w:tc>
        <w:tc>
          <w:tcPr>
            <w:tcW w:w="33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u w:val="single"/>
              </w:rPr>
            </w:pPr>
            <w:r>
              <w:rPr>
                <w:rFonts w:ascii="Times New Roman;serif" w:hAnsi="Times New Roman;serif"/>
                <w:b/>
                <w:color w:val="000000"/>
                <w:sz w:val="16"/>
                <w:u w:val="single"/>
              </w:rPr>
              <w:t>Name of each exchange on which registered</w:t>
            </w:r>
          </w:p>
        </w:tc>
      </w:tr>
      <w:tr>
        <w:trPr/>
        <w:tc>
          <w:tcPr>
            <w:tcW w:w="23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Capital Stock, par value $.0375</w:t>
            </w:r>
          </w:p>
        </w:tc>
        <w:tc>
          <w:tcPr>
            <w:tcW w:w="14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CPB</w:t>
            </w:r>
          </w:p>
        </w:tc>
        <w:tc>
          <w:tcPr>
            <w:tcW w:w="33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The Nasdaq Stock Market LLC</w:t>
            </w:r>
          </w:p>
        </w:tc>
      </w:tr>
    </w:tbl>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Indicate by check mark whether the registrant is an emerging growth company as defined in Rule 405 of the Securities Act of 1933 (§230.405 of this chapter) or Rule 12b-2 of the Securities Exchange Act of 1934 (17 CFR §240.12b-2 of this chapter).</w:t>
      </w:r>
    </w:p>
    <w:p>
      <w:pPr>
        <w:pStyle w:val="TextBody"/>
        <w:bidi w:val="0"/>
        <w:spacing w:lineRule="auto" w:line="288" w:before="120" w:after="283"/>
        <w:jc w:val="left"/>
        <w:rPr/>
      </w:pPr>
      <w:r>
        <w:rPr>
          <w:rFonts w:ascii="Times New Roman;serif" w:hAnsi="Times New Roman;serif"/>
          <w:b/>
          <w:color w:val="000000"/>
          <w:sz w:val="20"/>
        </w:rPr>
        <w:t xml:space="preserve">Emerging growth company </w:t>
      </w:r>
      <w:r>
        <w:rPr>
          <w:color w:val="000000"/>
        </w:rPr>
        <w:t xml:space="preserve">☐ </w:t>
      </w: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2"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5.02 – Departure of Directors or Certain Officers; Election of Directors; Appointment of Certain Officers; Compensatory Arrangements of Certain Officers</w:t>
      </w:r>
    </w:p>
    <w:p>
      <w:pPr>
        <w:pStyle w:val="TextBody"/>
        <w:bidi w:val="0"/>
        <w:spacing w:lineRule="auto" w:line="288" w:before="100" w:after="1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On June 17, 2026, The Campbell’s Company (the “Company”) announced that Daniel L. Poland, Executive Vice President, Chief Enterprise Transformation Officer, will step down from his current role effective August 3, 2026. Mr. Poland will remain with the Company to assist with the transition of his responsibilities until January 10, 2027.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3"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360" w:after="283"/>
        <w:jc w:val="center"/>
        <w:rPr>
          <w:rFonts w:ascii="Times New Roman;serif" w:hAnsi="Times New Roman;serif"/>
          <w:b/>
          <w:color w:val="000000"/>
          <w:sz w:val="20"/>
          <w:u w:val="single"/>
        </w:rPr>
      </w:pPr>
      <w:r>
        <w:rPr>
          <w:rFonts w:ascii="Times New Roman;serif" w:hAnsi="Times New Roman;serif"/>
          <w:b/>
          <w:color w:val="000000"/>
          <w:sz w:val="20"/>
          <w:u w:val="single"/>
        </w:rPr>
        <w:t>SIGNATURES</w:t>
      </w:r>
    </w:p>
    <w:p>
      <w:pPr>
        <w:pStyle w:val="TextBody"/>
        <w:bidi w:val="0"/>
        <w:spacing w:lineRule="auto" w:line="288" w:before="18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as amended, the registrant has duly caused this report to be signed on its behalf by the undersigned hereunto duly authorized.</w:t>
      </w:r>
    </w:p>
    <w:p>
      <w:pPr>
        <w:pStyle w:val="TextBody"/>
        <w:bidi w:val="0"/>
        <w:spacing w:before="0" w:after="0"/>
        <w:jc w:val="both"/>
        <w:rPr/>
      </w:pPr>
      <w:r>
        <w:rPr/>
      </w:r>
    </w:p>
    <w:tbl>
      <w:tblPr>
        <w:tblW w:w="8188" w:type="dxa"/>
        <w:jc w:val="center"/>
        <w:tblInd w:w="0" w:type="dxa"/>
        <w:tblLayout w:type="fixed"/>
        <w:tblCellMar>
          <w:top w:w="28" w:type="dxa"/>
          <w:left w:w="28" w:type="dxa"/>
          <w:bottom w:w="28" w:type="dxa"/>
          <w:right w:w="28" w:type="dxa"/>
        </w:tblCellMar>
      </w:tblPr>
      <w:tblGrid>
        <w:gridCol w:w="781"/>
        <w:gridCol w:w="688"/>
        <w:gridCol w:w="690"/>
        <w:gridCol w:w="134"/>
        <w:gridCol w:w="134"/>
        <w:gridCol w:w="136"/>
        <w:gridCol w:w="1645"/>
        <w:gridCol w:w="1645"/>
        <w:gridCol w:w="2335"/>
      </w:tblGrid>
      <w:tr>
        <w:trPr/>
        <w:tc>
          <w:tcPr>
            <w:tcW w:w="781" w:type="dxa"/>
            <w:tcBorders/>
            <w:vAlign w:val="center"/>
          </w:tcPr>
          <w:p>
            <w:pPr>
              <w:pStyle w:val="TableContents"/>
              <w:bidi w:val="0"/>
              <w:spacing w:before="0" w:after="283"/>
              <w:jc w:val="left"/>
              <w:rPr>
                <w:sz w:val="4"/>
                <w:szCs w:val="4"/>
              </w:rPr>
            </w:pPr>
            <w:r>
              <w:rPr>
                <w:sz w:val="4"/>
                <w:szCs w:val="4"/>
              </w:rPr>
            </w:r>
          </w:p>
        </w:tc>
        <w:tc>
          <w:tcPr>
            <w:tcW w:w="688" w:type="dxa"/>
            <w:tcBorders/>
            <w:vAlign w:val="center"/>
          </w:tcPr>
          <w:p>
            <w:pPr>
              <w:pStyle w:val="TableContents"/>
              <w:bidi w:val="0"/>
              <w:spacing w:before="0" w:after="283"/>
              <w:jc w:val="left"/>
              <w:rPr>
                <w:sz w:val="4"/>
                <w:szCs w:val="4"/>
              </w:rPr>
            </w:pPr>
            <w:r>
              <w:rPr>
                <w:sz w:val="4"/>
                <w:szCs w:val="4"/>
              </w:rPr>
            </w:r>
          </w:p>
        </w:tc>
        <w:tc>
          <w:tcPr>
            <w:tcW w:w="690"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645" w:type="dxa"/>
            <w:tcBorders/>
            <w:vAlign w:val="center"/>
          </w:tcPr>
          <w:p>
            <w:pPr>
              <w:pStyle w:val="TableContents"/>
              <w:bidi w:val="0"/>
              <w:spacing w:before="0" w:after="283"/>
              <w:jc w:val="left"/>
              <w:rPr>
                <w:sz w:val="4"/>
                <w:szCs w:val="4"/>
              </w:rPr>
            </w:pPr>
            <w:r>
              <w:rPr>
                <w:sz w:val="4"/>
                <w:szCs w:val="4"/>
              </w:rPr>
            </w:r>
          </w:p>
        </w:tc>
        <w:tc>
          <w:tcPr>
            <w:tcW w:w="1645" w:type="dxa"/>
            <w:tcBorders/>
            <w:vAlign w:val="center"/>
          </w:tcPr>
          <w:p>
            <w:pPr>
              <w:pStyle w:val="TableContents"/>
              <w:bidi w:val="0"/>
              <w:spacing w:before="0" w:after="283"/>
              <w:jc w:val="left"/>
              <w:rPr>
                <w:sz w:val="4"/>
                <w:szCs w:val="4"/>
              </w:rPr>
            </w:pPr>
            <w:r>
              <w:rPr>
                <w:sz w:val="4"/>
                <w:szCs w:val="4"/>
              </w:rPr>
            </w:r>
          </w:p>
        </w:tc>
        <w:tc>
          <w:tcPr>
            <w:tcW w:w="2335" w:type="dxa"/>
            <w:tcBorders/>
            <w:vAlign w:val="center"/>
          </w:tcPr>
          <w:p>
            <w:pPr>
              <w:pStyle w:val="TableContents"/>
              <w:bidi w:val="0"/>
              <w:spacing w:before="0" w:after="283"/>
              <w:jc w:val="left"/>
              <w:rPr>
                <w:sz w:val="4"/>
                <w:szCs w:val="4"/>
              </w:rPr>
            </w:pPr>
            <w:r>
              <w:rPr>
                <w:sz w:val="4"/>
                <w:szCs w:val="4"/>
              </w:rPr>
            </w:r>
          </w:p>
        </w:tc>
      </w:tr>
      <w:tr>
        <w:trPr/>
        <w:tc>
          <w:tcPr>
            <w:tcW w:w="21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THE CAMPBELL'S COMPANY</w:t>
            </w:r>
          </w:p>
        </w:tc>
      </w:tr>
      <w:tr>
        <w:trPr/>
        <w:tc>
          <w:tcPr>
            <w:tcW w:w="21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5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Date: June 17, 2026</w:t>
            </w:r>
          </w:p>
        </w:tc>
        <w:tc>
          <w:tcPr>
            <w:tcW w:w="40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By:</w:t>
            </w:r>
          </w:p>
        </w:tc>
        <w:tc>
          <w:tcPr>
            <w:tcW w:w="56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Charles A. Brawley, III</w:t>
            </w:r>
          </w:p>
        </w:tc>
      </w:tr>
      <w:tr>
        <w:trPr/>
        <w:tc>
          <w:tcPr>
            <w:tcW w:w="21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2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Charles A. Brawley, III</w:t>
            </w:r>
          </w:p>
        </w:tc>
      </w:tr>
      <w:tr>
        <w:trPr/>
        <w:tc>
          <w:tcPr>
            <w:tcW w:w="21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Executive Vice President, General Counsel and Corporate Secretary</w:t>
            </w:r>
          </w:p>
        </w:tc>
      </w:tr>
    </w:tbl>
    <w:p>
      <w:pPr>
        <w:pStyle w:val="TextBody"/>
        <w:bidi w:val="0"/>
        <w:spacing w:before="0" w:after="283"/>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4"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416</Words>
  <Characters>2315</Characters>
  <CharactersWithSpaces>2697</CharactersWithSpaces>
  <Paragraphs>49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