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962448.xml.htm"/>
      <w:bookmarkStart w:id="1" w:name="kswkform3_178596244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Nippert Melissa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CAMPBELL'S COMPANY</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CAMPBELL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CAMDEN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08103-1701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CAMPBELL'S Co</w:t>
              </w:r>
            </w:hyperlink>
            <w:r>
              <w:rPr/>
              <w:t xml:space="preserve"> [ </w:t>
            </w:r>
            <w:r>
              <w:rPr>
                <w:rFonts w:ascii="Times;serif" w:hAnsi="Times;serif"/>
                <w:color w:val="0000FF"/>
                <w:sz w:val="24"/>
                <w:shd w:fill="FFFFFF" w:val="clear"/>
              </w:rPr>
              <w:t>CPB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Transformation Ofcr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14,487</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Marci K. Donnelly,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melissanippertsection16p.htm"/>
      <w:bookmarkStart w:id="3" w:name="ksmelissanippertsection16p"/>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 POWER OF ATTORNEY SECTION 16 Known by all these present, that the undersigned hereby constitutes and appoints each of Charles A. Brawley, III, Marci K. Donnelly, Andrew D. Kupchik and Kishan Mistry, or any of them signing singly, and with full power of substitution, as the undersigned's true and lawful attorneys-in-fact to: (1) prepare, execute in the undersigned's name and on the undersigned's behalf, and submit to the U.S. Securities and Exchange Commission (the "SEC") a Form ID and any documentation required to enroll in and comply with any EDGARNext program, including amendments thereto, and any other documents necessary or appropriate to obtain, update or otherwise maintain codes and passwords, including passphrases, enabling the undersigned to make electronic filings with the SEC of reports required by Section 16(a) of the Securities Exchange Act of 1934 ("Section 16") or any rule or regulation of the SEC; (2) execute for and on behalf of the undersigned, in the undersigned's capacity as an officer and/or director of The Campbell's Company (the "Company"), Forms 3, 4, and 5 in accordance with Section 16 and the rules thereunder, and Form 144 ("Form 144") pursuant to Rule 144 under the Securities Act of 1933 ("Rule 144") and the rules thereunder; (3) do and perform any and all acts for and on behalf of the undersigned which may be necessary or desirable to complete and execute any such Form 3, 4, 5 or 144, complete and execute any amendment or amendments thereto, and timely file such form with the SEC and any stock exchange or similar authority; and (4) report all of the undersigned's transactions (including those of the undersigned's family members and other persons attributable to the undersigned under Section 16) involving Company stock; and (5)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 in-fact may approve in the discretion of any of such attorneys-in-fact.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each of the foregoing attorneys-in-fact, in serving in such capacity at the request of the undersigned, are not assuming, nor is the Company assuming, any of the undersigned's responsibilities to comply with Section 16 and Rule 144. 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16th day of July 2026. Signature: /s/ Melissa Nippert Printed Name: Melissa Nippert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6721" TargetMode="External"/><Relationship Id="rId3" Type="http://schemas.openxmlformats.org/officeDocument/2006/relationships/hyperlink" Target="http://www.sec.gov/cgi-bin/browse-edgar?action=getcompany&amp;CIK=000001673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1012</Words>
  <Characters>5361</Characters>
  <CharactersWithSpaces>6326</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melissanippertsection16p</dc:title>
</cp:coreProperties>
</file>